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081" w:rsidRDefault="00320FC3" w:rsidP="00DB1081">
      <w:pPr>
        <w:tabs>
          <w:tab w:val="left" w:pos="2323"/>
        </w:tabs>
        <w:jc w:val="center"/>
        <w:outlineLvl w:val="0"/>
        <w:rPr>
          <w:sz w:val="28"/>
          <w:szCs w:val="28"/>
        </w:rPr>
      </w:pPr>
      <w:r>
        <w:rPr>
          <w:noProof/>
          <w:sz w:val="28"/>
        </w:rPr>
        <w:drawing>
          <wp:anchor distT="0" distB="0" distL="114300" distR="114300" simplePos="0" relativeHeight="251659264" behindDoc="0" locked="0" layoutInCell="1" allowOverlap="1">
            <wp:simplePos x="0" y="0"/>
            <wp:positionH relativeFrom="column">
              <wp:posOffset>2713990</wp:posOffset>
            </wp:positionH>
            <wp:positionV relativeFrom="paragraph">
              <wp:posOffset>6350</wp:posOffset>
            </wp:positionV>
            <wp:extent cx="723265" cy="885190"/>
            <wp:effectExtent l="0" t="0" r="635" b="0"/>
            <wp:wrapNone/>
            <wp:docPr id="17" name="Рисунок 17" descr="герб на документы отредактирова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ерб на документы отредактирован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885190"/>
                    </a:xfrm>
                    <a:prstGeom prst="rect">
                      <a:avLst/>
                    </a:prstGeom>
                    <a:noFill/>
                  </pic:spPr>
                </pic:pic>
              </a:graphicData>
            </a:graphic>
            <wp14:sizeRelH relativeFrom="page">
              <wp14:pctWidth>0</wp14:pctWidth>
            </wp14:sizeRelH>
            <wp14:sizeRelV relativeFrom="page">
              <wp14:pctHeight>0</wp14:pctHeight>
            </wp14:sizeRelV>
          </wp:anchor>
        </w:drawing>
      </w:r>
    </w:p>
    <w:p w:rsidR="00DB1081" w:rsidRDefault="00DB1081" w:rsidP="00DB1081">
      <w:pPr>
        <w:tabs>
          <w:tab w:val="left" w:pos="2323"/>
        </w:tabs>
        <w:jc w:val="center"/>
        <w:outlineLvl w:val="0"/>
        <w:rPr>
          <w:sz w:val="28"/>
          <w:szCs w:val="28"/>
        </w:rPr>
      </w:pPr>
    </w:p>
    <w:p w:rsidR="00DB1081" w:rsidRDefault="00DB1081" w:rsidP="00DB1081">
      <w:pPr>
        <w:tabs>
          <w:tab w:val="left" w:pos="2323"/>
        </w:tabs>
        <w:jc w:val="center"/>
        <w:outlineLvl w:val="0"/>
        <w:rPr>
          <w:b/>
          <w:sz w:val="28"/>
          <w:szCs w:val="28"/>
        </w:rPr>
      </w:pPr>
    </w:p>
    <w:p w:rsidR="00DB1081" w:rsidRDefault="00DB1081" w:rsidP="00DB1081">
      <w:pPr>
        <w:tabs>
          <w:tab w:val="left" w:pos="2323"/>
        </w:tabs>
        <w:jc w:val="center"/>
        <w:outlineLvl w:val="0"/>
        <w:rPr>
          <w:b/>
          <w:sz w:val="28"/>
          <w:szCs w:val="28"/>
        </w:rPr>
      </w:pPr>
    </w:p>
    <w:p w:rsidR="00DB1081" w:rsidRDefault="00DB1081" w:rsidP="00DB1081">
      <w:pPr>
        <w:tabs>
          <w:tab w:val="left" w:pos="2323"/>
        </w:tabs>
        <w:jc w:val="center"/>
        <w:outlineLvl w:val="0"/>
        <w:rPr>
          <w:b/>
          <w:sz w:val="28"/>
          <w:szCs w:val="28"/>
        </w:rPr>
      </w:pPr>
    </w:p>
    <w:p w:rsidR="00DB1081" w:rsidRDefault="00DB1081" w:rsidP="00DB1081">
      <w:pPr>
        <w:tabs>
          <w:tab w:val="left" w:pos="2323"/>
        </w:tabs>
        <w:jc w:val="center"/>
        <w:outlineLvl w:val="0"/>
        <w:rPr>
          <w:b/>
          <w:sz w:val="28"/>
          <w:szCs w:val="28"/>
        </w:rPr>
      </w:pPr>
    </w:p>
    <w:p w:rsidR="00DB1081" w:rsidRPr="0029403D" w:rsidRDefault="00DB1081" w:rsidP="00DB1081">
      <w:pPr>
        <w:jc w:val="center"/>
        <w:rPr>
          <w:b/>
        </w:rPr>
      </w:pPr>
      <w:r w:rsidRPr="0029403D">
        <w:rPr>
          <w:b/>
        </w:rPr>
        <w:t>РЕВИЗИОННАЯ КОМИССИЯ КАРГАТСКОГО РАЙОНА</w:t>
      </w:r>
    </w:p>
    <w:p w:rsidR="00DB1081" w:rsidRPr="0029403D" w:rsidRDefault="00DB1081" w:rsidP="00DB1081">
      <w:pPr>
        <w:jc w:val="center"/>
        <w:rPr>
          <w:b/>
        </w:rPr>
      </w:pPr>
      <w:r w:rsidRPr="0029403D">
        <w:rPr>
          <w:b/>
        </w:rPr>
        <w:t>НОВОСИБИРСКОЙ ОБЛАСТИ</w:t>
      </w:r>
    </w:p>
    <w:p w:rsidR="00DB1081" w:rsidRPr="0029403D" w:rsidRDefault="00DB1081" w:rsidP="00DB1081">
      <w:pPr>
        <w:jc w:val="center"/>
      </w:pPr>
    </w:p>
    <w:p w:rsidR="00DB1081" w:rsidRPr="0029403D" w:rsidRDefault="00DB1081" w:rsidP="00DB1081">
      <w:pPr>
        <w:jc w:val="center"/>
        <w:rPr>
          <w:b/>
        </w:rPr>
      </w:pPr>
      <w:r w:rsidRPr="0029403D">
        <w:rPr>
          <w:b/>
        </w:rPr>
        <w:t xml:space="preserve">ЭКСПЕРТНОЕ ЗАКЛЮЧЕНИЕ </w:t>
      </w:r>
    </w:p>
    <w:p w:rsidR="007F2993" w:rsidRDefault="001E60F9" w:rsidP="001E60F9">
      <w:pPr>
        <w:pStyle w:val="ac"/>
        <w:ind w:firstLine="0"/>
        <w:rPr>
          <w:sz w:val="24"/>
          <w:szCs w:val="24"/>
        </w:rPr>
      </w:pPr>
      <w:r w:rsidRPr="0029403D">
        <w:rPr>
          <w:sz w:val="24"/>
          <w:szCs w:val="24"/>
        </w:rPr>
        <w:t xml:space="preserve">по </w:t>
      </w:r>
      <w:r w:rsidR="00E8794A" w:rsidRPr="0029403D">
        <w:rPr>
          <w:sz w:val="24"/>
          <w:szCs w:val="24"/>
        </w:rPr>
        <w:t xml:space="preserve">результатам внешней проверки годового </w:t>
      </w:r>
      <w:r w:rsidRPr="0029403D">
        <w:rPr>
          <w:sz w:val="24"/>
          <w:szCs w:val="24"/>
        </w:rPr>
        <w:t>отч</w:t>
      </w:r>
      <w:r w:rsidR="00A44A4C" w:rsidRPr="0029403D">
        <w:rPr>
          <w:sz w:val="24"/>
          <w:szCs w:val="24"/>
        </w:rPr>
        <w:t>ё</w:t>
      </w:r>
      <w:r w:rsidRPr="0029403D">
        <w:rPr>
          <w:sz w:val="24"/>
          <w:szCs w:val="24"/>
        </w:rPr>
        <w:t>т</w:t>
      </w:r>
      <w:r w:rsidR="00E8794A" w:rsidRPr="0029403D">
        <w:rPr>
          <w:sz w:val="24"/>
          <w:szCs w:val="24"/>
        </w:rPr>
        <w:t>а</w:t>
      </w:r>
      <w:r w:rsidR="00DB1081" w:rsidRPr="0029403D">
        <w:rPr>
          <w:sz w:val="24"/>
          <w:szCs w:val="24"/>
        </w:rPr>
        <w:t xml:space="preserve"> </w:t>
      </w:r>
      <w:r w:rsidRPr="0029403D">
        <w:rPr>
          <w:sz w:val="24"/>
          <w:szCs w:val="24"/>
        </w:rPr>
        <w:t>об исполнении</w:t>
      </w:r>
      <w:r w:rsidR="00A44A4C" w:rsidRPr="0029403D">
        <w:rPr>
          <w:sz w:val="24"/>
          <w:szCs w:val="24"/>
        </w:rPr>
        <w:t xml:space="preserve"> бюджета</w:t>
      </w:r>
      <w:r w:rsidRPr="0029403D">
        <w:rPr>
          <w:sz w:val="24"/>
          <w:szCs w:val="24"/>
        </w:rPr>
        <w:t xml:space="preserve"> </w:t>
      </w:r>
    </w:p>
    <w:p w:rsidR="001E60F9" w:rsidRPr="0029403D" w:rsidRDefault="00212843" w:rsidP="001E60F9">
      <w:pPr>
        <w:pStyle w:val="ac"/>
        <w:ind w:firstLine="0"/>
        <w:rPr>
          <w:sz w:val="24"/>
          <w:szCs w:val="24"/>
        </w:rPr>
      </w:pPr>
      <w:r>
        <w:rPr>
          <w:sz w:val="24"/>
          <w:szCs w:val="24"/>
        </w:rPr>
        <w:t>Беркутов</w:t>
      </w:r>
      <w:r w:rsidR="00804797" w:rsidRPr="0029403D">
        <w:rPr>
          <w:sz w:val="24"/>
          <w:szCs w:val="24"/>
        </w:rPr>
        <w:t>ского сельсовета Каргатского района Новосибирской области</w:t>
      </w:r>
      <w:r w:rsidR="001E60F9" w:rsidRPr="0029403D">
        <w:rPr>
          <w:sz w:val="24"/>
          <w:szCs w:val="24"/>
        </w:rPr>
        <w:t xml:space="preserve"> за </w:t>
      </w:r>
      <w:r w:rsidR="007F2993">
        <w:rPr>
          <w:sz w:val="24"/>
          <w:szCs w:val="24"/>
        </w:rPr>
        <w:t>2014</w:t>
      </w:r>
      <w:r w:rsidR="001E60F9" w:rsidRPr="0029403D">
        <w:rPr>
          <w:sz w:val="24"/>
          <w:szCs w:val="24"/>
        </w:rPr>
        <w:t xml:space="preserve"> год</w:t>
      </w:r>
    </w:p>
    <w:p w:rsidR="00534C44" w:rsidRDefault="00534C44" w:rsidP="00A64B99">
      <w:pPr>
        <w:pStyle w:val="a4"/>
        <w:spacing w:after="0"/>
        <w:ind w:firstLine="567"/>
        <w:jc w:val="both"/>
      </w:pPr>
    </w:p>
    <w:p w:rsidR="0096321C" w:rsidRDefault="005A5A57" w:rsidP="00F67374">
      <w:pPr>
        <w:pStyle w:val="a4"/>
        <w:spacing w:before="120" w:after="0"/>
        <w:ind w:left="8508"/>
        <w:jc w:val="both"/>
      </w:pPr>
      <w:r>
        <w:t>05</w:t>
      </w:r>
      <w:r w:rsidR="0096321C">
        <w:t>.</w:t>
      </w:r>
      <w:r w:rsidR="007F2993">
        <w:t>05</w:t>
      </w:r>
      <w:r w:rsidR="0096321C">
        <w:t>.</w:t>
      </w:r>
      <w:r w:rsidR="007F2993">
        <w:t>2015</w:t>
      </w:r>
    </w:p>
    <w:p w:rsidR="0096321C" w:rsidRPr="00A64B99" w:rsidRDefault="0096321C" w:rsidP="00A64B99">
      <w:pPr>
        <w:pStyle w:val="a4"/>
        <w:spacing w:after="0"/>
        <w:ind w:firstLine="567"/>
        <w:jc w:val="both"/>
      </w:pPr>
    </w:p>
    <w:p w:rsidR="00080C19" w:rsidRPr="00A64B99" w:rsidRDefault="00080C19" w:rsidP="00AE245D">
      <w:pPr>
        <w:ind w:firstLine="567"/>
        <w:jc w:val="both"/>
      </w:pPr>
      <w:proofErr w:type="gramStart"/>
      <w:r w:rsidRPr="00A64B99">
        <w:t xml:space="preserve">Экспертное заключение </w:t>
      </w:r>
      <w:r w:rsidR="00506301" w:rsidRPr="00A64B99">
        <w:t xml:space="preserve">Ревизионной </w:t>
      </w:r>
      <w:r w:rsidR="00A17EE6" w:rsidRPr="00A64B99">
        <w:t>комиссии</w:t>
      </w:r>
      <w:r w:rsidR="00506301" w:rsidRPr="00A64B99">
        <w:t xml:space="preserve"> </w:t>
      </w:r>
      <w:r w:rsidR="00A17EE6" w:rsidRPr="00A64B99">
        <w:t>Каргатского</w:t>
      </w:r>
      <w:r w:rsidR="00506301" w:rsidRPr="00A64B99">
        <w:t xml:space="preserve"> района</w:t>
      </w:r>
      <w:r w:rsidR="00A17EE6" w:rsidRPr="00A64B99">
        <w:t xml:space="preserve"> </w:t>
      </w:r>
      <w:r w:rsidR="001F1C1B" w:rsidRPr="00A64B99">
        <w:t xml:space="preserve">по результатам внешней проверки годового отчёта об исполнении бюджета </w:t>
      </w:r>
      <w:r w:rsidR="00212843">
        <w:t>Беркутов</w:t>
      </w:r>
      <w:r w:rsidR="001F1C1B" w:rsidRPr="00A64B99">
        <w:t>ского сельсовета Ка</w:t>
      </w:r>
      <w:r w:rsidR="001F1C1B" w:rsidRPr="00A64B99">
        <w:t>р</w:t>
      </w:r>
      <w:r w:rsidR="001F1C1B" w:rsidRPr="00A64B99">
        <w:t xml:space="preserve">гатского района Новосибирской области за </w:t>
      </w:r>
      <w:r w:rsidR="007F2993">
        <w:t>2014</w:t>
      </w:r>
      <w:r w:rsidR="001F1C1B" w:rsidRPr="00A64B99">
        <w:t xml:space="preserve"> год</w:t>
      </w:r>
      <w:r w:rsidR="00E2681F" w:rsidRPr="00A64B99">
        <w:t xml:space="preserve"> (далее - </w:t>
      </w:r>
      <w:r w:rsidR="00135AAE" w:rsidRPr="00A64B99">
        <w:t>о</w:t>
      </w:r>
      <w:r w:rsidR="00E2681F" w:rsidRPr="00A64B99">
        <w:t>тчёт</w:t>
      </w:r>
      <w:r w:rsidR="00A17EE6" w:rsidRPr="00A64B99">
        <w:t xml:space="preserve"> </w:t>
      </w:r>
      <w:r w:rsidR="00E2681F" w:rsidRPr="00A64B99">
        <w:t>об исполнении</w:t>
      </w:r>
      <w:r w:rsidR="004812A7" w:rsidRPr="00A64B99">
        <w:t xml:space="preserve"> местного</w:t>
      </w:r>
      <w:r w:rsidR="00E2681F" w:rsidRPr="00A64B99">
        <w:t xml:space="preserve"> бюджета за </w:t>
      </w:r>
      <w:r w:rsidR="007F2993">
        <w:t>2014</w:t>
      </w:r>
      <w:r w:rsidR="00E2681F" w:rsidRPr="00A64B99">
        <w:t xml:space="preserve"> год) </w:t>
      </w:r>
      <w:r w:rsidRPr="00A64B99">
        <w:t>подготовлено в соответстви</w:t>
      </w:r>
      <w:r w:rsidR="00D0618D">
        <w:t>е</w:t>
      </w:r>
      <w:r w:rsidR="00B11085">
        <w:t xml:space="preserve"> стать</w:t>
      </w:r>
      <w:r w:rsidR="00D0618D">
        <w:t>е</w:t>
      </w:r>
      <w:r w:rsidR="00B11085">
        <w:t xml:space="preserve"> 264.4</w:t>
      </w:r>
      <w:r w:rsidRPr="00A64B99">
        <w:t xml:space="preserve"> Бюджетн</w:t>
      </w:r>
      <w:r w:rsidR="00B11085">
        <w:t>ого</w:t>
      </w:r>
      <w:r w:rsidRPr="00A64B99">
        <w:t xml:space="preserve"> кодекс</w:t>
      </w:r>
      <w:r w:rsidR="00B11085">
        <w:t>а</w:t>
      </w:r>
      <w:r w:rsidRPr="00A64B99">
        <w:t xml:space="preserve"> Р</w:t>
      </w:r>
      <w:r w:rsidR="00A17EE6" w:rsidRPr="00A64B99">
        <w:t>осси</w:t>
      </w:r>
      <w:r w:rsidR="00A17EE6" w:rsidRPr="00A64B99">
        <w:t>й</w:t>
      </w:r>
      <w:r w:rsidR="00A17EE6" w:rsidRPr="00A64B99">
        <w:t xml:space="preserve">ской </w:t>
      </w:r>
      <w:r w:rsidRPr="00A64B99">
        <w:t>Ф</w:t>
      </w:r>
      <w:r w:rsidR="00A17EE6" w:rsidRPr="00A64B99">
        <w:t>едерации</w:t>
      </w:r>
      <w:r w:rsidRPr="00A64B99">
        <w:t xml:space="preserve"> (</w:t>
      </w:r>
      <w:r w:rsidR="00A17EE6" w:rsidRPr="00A64B99">
        <w:t xml:space="preserve">далее – </w:t>
      </w:r>
      <w:r w:rsidRPr="00A64B99">
        <w:t xml:space="preserve">БК РФ), </w:t>
      </w:r>
      <w:r w:rsidR="007D75B5">
        <w:t>стать</w:t>
      </w:r>
      <w:r w:rsidR="00D0618D">
        <w:t>е</w:t>
      </w:r>
      <w:r w:rsidR="007D75B5">
        <w:t xml:space="preserve"> </w:t>
      </w:r>
      <w:r w:rsidR="00E300FD">
        <w:t>82</w:t>
      </w:r>
      <w:r w:rsidR="007D75B5">
        <w:t xml:space="preserve"> </w:t>
      </w:r>
      <w:r w:rsidR="005A1015" w:rsidRPr="00A64B99">
        <w:t>Положени</w:t>
      </w:r>
      <w:r w:rsidR="007D75B5">
        <w:t>я</w:t>
      </w:r>
      <w:r w:rsidR="005A1015" w:rsidRPr="00A64B99">
        <w:t xml:space="preserve"> о</w:t>
      </w:r>
      <w:r w:rsidRPr="00A64B99">
        <w:t xml:space="preserve"> бюджетном</w:t>
      </w:r>
      <w:r w:rsidR="002337AD">
        <w:t xml:space="preserve"> устройстве и бюдже</w:t>
      </w:r>
      <w:r w:rsidR="002337AD">
        <w:t>т</w:t>
      </w:r>
      <w:r w:rsidR="002337AD">
        <w:t>ном</w:t>
      </w:r>
      <w:r w:rsidR="00422724" w:rsidRPr="00A64B99">
        <w:t xml:space="preserve"> </w:t>
      </w:r>
      <w:r w:rsidRPr="00A64B99">
        <w:t xml:space="preserve">процессе </w:t>
      </w:r>
      <w:r w:rsidR="00E2682F" w:rsidRPr="00A64B99">
        <w:t xml:space="preserve">в </w:t>
      </w:r>
      <w:r w:rsidR="00212843">
        <w:t>Беркутов</w:t>
      </w:r>
      <w:r w:rsidR="005A1015" w:rsidRPr="00A64B99">
        <w:t>ск</w:t>
      </w:r>
      <w:r w:rsidR="00E2682F" w:rsidRPr="00A64B99">
        <w:t>о</w:t>
      </w:r>
      <w:r w:rsidR="002337AD">
        <w:t>м</w:t>
      </w:r>
      <w:r w:rsidR="005A1015" w:rsidRPr="00A64B99">
        <w:t xml:space="preserve"> сельсовет</w:t>
      </w:r>
      <w:r w:rsidR="002337AD">
        <w:t>е</w:t>
      </w:r>
      <w:r w:rsidR="005A1015" w:rsidRPr="00A64B99">
        <w:t xml:space="preserve"> Каргатского района </w:t>
      </w:r>
      <w:r w:rsidRPr="00A64B99">
        <w:t>Новосибирской</w:t>
      </w:r>
      <w:proofErr w:type="gramEnd"/>
      <w:r w:rsidRPr="00A64B99">
        <w:t xml:space="preserve"> </w:t>
      </w:r>
      <w:proofErr w:type="gramStart"/>
      <w:r w:rsidRPr="00A64B99">
        <w:t>области</w:t>
      </w:r>
      <w:r w:rsidR="00FB11DC" w:rsidRPr="00A64B99">
        <w:t>, утверждённ</w:t>
      </w:r>
      <w:r w:rsidR="00D0618D">
        <w:t>ого</w:t>
      </w:r>
      <w:r w:rsidR="00FB11DC" w:rsidRPr="00A64B99">
        <w:t xml:space="preserve"> решением</w:t>
      </w:r>
      <w:r w:rsidR="00D35230" w:rsidRPr="00A64B99">
        <w:t xml:space="preserve"> </w:t>
      </w:r>
      <w:r w:rsidR="002337AD">
        <w:t>4</w:t>
      </w:r>
      <w:r w:rsidR="00D35230" w:rsidRPr="00A64B99">
        <w:t>-й сессии</w:t>
      </w:r>
      <w:r w:rsidR="00F46508" w:rsidRPr="00A64B99">
        <w:t xml:space="preserve"> 4 созыва Совета депутатов </w:t>
      </w:r>
      <w:r w:rsidR="00212843">
        <w:t>Беркутов</w:t>
      </w:r>
      <w:r w:rsidR="00F46508" w:rsidRPr="00A64B99">
        <w:t xml:space="preserve">ского сельсовета Каргатского района Новосибирской области от </w:t>
      </w:r>
      <w:r w:rsidR="002337AD">
        <w:t>30</w:t>
      </w:r>
      <w:r w:rsidR="00F46508" w:rsidRPr="00A64B99">
        <w:t>.</w:t>
      </w:r>
      <w:r w:rsidR="002337AD">
        <w:t>09</w:t>
      </w:r>
      <w:r w:rsidR="00F46508" w:rsidRPr="00A64B99">
        <w:t>.</w:t>
      </w:r>
      <w:r w:rsidR="0096321C">
        <w:t>2010</w:t>
      </w:r>
      <w:r w:rsidR="00F46508" w:rsidRPr="00A64B99">
        <w:t xml:space="preserve"> № </w:t>
      </w:r>
      <w:r w:rsidR="002337AD">
        <w:t>3</w:t>
      </w:r>
      <w:r w:rsidR="00F46508" w:rsidRPr="00A64B99">
        <w:t>2</w:t>
      </w:r>
      <w:r w:rsidR="00D35230" w:rsidRPr="00A64B99">
        <w:t xml:space="preserve"> </w:t>
      </w:r>
      <w:r w:rsidRPr="00A64B99">
        <w:t>(</w:t>
      </w:r>
      <w:r w:rsidR="005A1015" w:rsidRPr="00A64B99">
        <w:t>далее – Положение о бю</w:t>
      </w:r>
      <w:r w:rsidR="005A1015" w:rsidRPr="00A64B99">
        <w:t>д</w:t>
      </w:r>
      <w:r w:rsidR="005A1015" w:rsidRPr="00A64B99">
        <w:t>жетном процессе)</w:t>
      </w:r>
      <w:r w:rsidR="00F46508" w:rsidRPr="00A64B99">
        <w:t>,</w:t>
      </w:r>
      <w:r w:rsidRPr="00A64B99">
        <w:t xml:space="preserve"> </w:t>
      </w:r>
      <w:r w:rsidR="0096321C">
        <w:t>пункт</w:t>
      </w:r>
      <w:r w:rsidR="00D0618D">
        <w:t>у</w:t>
      </w:r>
      <w:r w:rsidR="0096321C">
        <w:t xml:space="preserve"> 3 статьи 4 </w:t>
      </w:r>
      <w:r w:rsidR="0096321C" w:rsidRPr="00A64B99">
        <w:t>Положени</w:t>
      </w:r>
      <w:r w:rsidR="0096321C">
        <w:t>я</w:t>
      </w:r>
      <w:r w:rsidR="0096321C" w:rsidRPr="00A64B99">
        <w:t xml:space="preserve"> о Ревизионной комиссии Каргатского рай</w:t>
      </w:r>
      <w:r w:rsidR="0096321C" w:rsidRPr="00A64B99">
        <w:t>о</w:t>
      </w:r>
      <w:r w:rsidR="0096321C" w:rsidRPr="00A64B99">
        <w:t>на Новосибирской области, утверждённ</w:t>
      </w:r>
      <w:r w:rsidR="00D0618D">
        <w:t>ого</w:t>
      </w:r>
      <w:r w:rsidR="0096321C">
        <w:t xml:space="preserve"> решением</w:t>
      </w:r>
      <w:r w:rsidR="0096321C" w:rsidRPr="00A64B99">
        <w:t xml:space="preserve"> 14 сессии</w:t>
      </w:r>
      <w:r w:rsidR="0096321C">
        <w:t xml:space="preserve"> 2 созыва</w:t>
      </w:r>
      <w:r w:rsidR="0096321C" w:rsidRPr="00A64B99">
        <w:t xml:space="preserve"> Совета</w:t>
      </w:r>
      <w:r w:rsidR="0096321C">
        <w:t xml:space="preserve"> д</w:t>
      </w:r>
      <w:r w:rsidR="0096321C" w:rsidRPr="00A64B99">
        <w:t>епутатов Каргатского района Новосибирской</w:t>
      </w:r>
      <w:r w:rsidR="0096321C">
        <w:t xml:space="preserve"> </w:t>
      </w:r>
      <w:r w:rsidR="0096321C" w:rsidRPr="00A64B99">
        <w:t>области от 23</w:t>
      </w:r>
      <w:r w:rsidR="0096321C">
        <w:t>.11.</w:t>
      </w:r>
      <w:r w:rsidR="007F2993">
        <w:t>201</w:t>
      </w:r>
      <w:r w:rsidR="00D0618D">
        <w:t>1</w:t>
      </w:r>
      <w:r w:rsidR="0096321C">
        <w:t xml:space="preserve"> № 157, пункт</w:t>
      </w:r>
      <w:r w:rsidR="00D0618D">
        <w:t>у</w:t>
      </w:r>
      <w:r w:rsidR="0096321C">
        <w:t xml:space="preserve"> 1 Соглашения о п</w:t>
      </w:r>
      <w:r w:rsidR="0096321C">
        <w:t>е</w:t>
      </w:r>
      <w:r w:rsidR="0096321C">
        <w:t>редаче полномочий ревизионной комиссии Каргатского района</w:t>
      </w:r>
      <w:proofErr w:type="gramEnd"/>
      <w:r w:rsidR="0096321C">
        <w:t xml:space="preserve"> от </w:t>
      </w:r>
      <w:r w:rsidR="00260B23">
        <w:t>14.03.</w:t>
      </w:r>
      <w:r w:rsidR="007F2993">
        <w:t>201</w:t>
      </w:r>
      <w:r w:rsidR="00D0618D">
        <w:t>4</w:t>
      </w:r>
      <w:r w:rsidR="0096321C">
        <w:t>,</w:t>
      </w:r>
      <w:r w:rsidR="0096321C" w:rsidRPr="00A64B99">
        <w:t xml:space="preserve"> </w:t>
      </w:r>
      <w:r w:rsidR="0096321C">
        <w:t>пункт</w:t>
      </w:r>
      <w:r w:rsidR="00D0618D">
        <w:t>у</w:t>
      </w:r>
      <w:r w:rsidR="0096321C">
        <w:t xml:space="preserve"> </w:t>
      </w:r>
      <w:r w:rsidR="00D0618D">
        <w:t>12</w:t>
      </w:r>
      <w:r w:rsidR="0096321C">
        <w:t xml:space="preserve"> Плана работы </w:t>
      </w:r>
      <w:r w:rsidR="0096321C" w:rsidRPr="00A64B99">
        <w:t>Ревизионной комиссии Каргатского района</w:t>
      </w:r>
      <w:r w:rsidR="0096321C">
        <w:t xml:space="preserve"> на </w:t>
      </w:r>
      <w:r w:rsidR="007F2993">
        <w:t>2015</w:t>
      </w:r>
      <w:r w:rsidR="0096321C">
        <w:t xml:space="preserve"> год.</w:t>
      </w:r>
    </w:p>
    <w:p w:rsidR="00D0618D" w:rsidRDefault="00D0618D" w:rsidP="00D0618D">
      <w:pPr>
        <w:spacing w:before="60"/>
        <w:ind w:firstLine="567"/>
        <w:jc w:val="both"/>
      </w:pPr>
      <w:r>
        <w:t>Отчёт об исполнении местного бюджета за 2014 год с пояснительной запиской и д</w:t>
      </w:r>
      <w:r>
        <w:t>о</w:t>
      </w:r>
      <w:r>
        <w:t xml:space="preserve">полнительными материалами поступил в Ревизионную комиссию </w:t>
      </w:r>
      <w:r>
        <w:rPr>
          <w:b/>
          <w:i/>
        </w:rPr>
        <w:t>в нарушение срока, уст</w:t>
      </w:r>
      <w:r>
        <w:rPr>
          <w:b/>
          <w:i/>
        </w:rPr>
        <w:t>а</w:t>
      </w:r>
      <w:r>
        <w:rPr>
          <w:b/>
          <w:i/>
        </w:rPr>
        <w:t>новленного пунктом 3 статьи 264.4 БК РФ:</w:t>
      </w:r>
    </w:p>
    <w:p w:rsidR="00D0618D" w:rsidRDefault="00D0618D" w:rsidP="00D0618D">
      <w:pPr>
        <w:widowControl w:val="0"/>
        <w:autoSpaceDE w:val="0"/>
        <w:autoSpaceDN w:val="0"/>
        <w:adjustRightInd w:val="0"/>
        <w:spacing w:before="40"/>
        <w:ind w:firstLine="540"/>
        <w:jc w:val="both"/>
        <w:rPr>
          <w:i/>
          <w:sz w:val="20"/>
          <w:szCs w:val="20"/>
        </w:rPr>
      </w:pPr>
      <w:r>
        <w:rPr>
          <w:i/>
          <w:sz w:val="20"/>
          <w:szCs w:val="20"/>
        </w:rPr>
        <w:t>«Местная администрация представляет отчет об исполнении местного бюджета для подготовки з</w:t>
      </w:r>
      <w:r>
        <w:rPr>
          <w:i/>
          <w:sz w:val="20"/>
          <w:szCs w:val="20"/>
        </w:rPr>
        <w:t>а</w:t>
      </w:r>
      <w:r>
        <w:rPr>
          <w:i/>
          <w:sz w:val="20"/>
          <w:szCs w:val="20"/>
        </w:rPr>
        <w:t>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D0618D" w:rsidRPr="001A2263" w:rsidRDefault="00D0618D" w:rsidP="00D0618D">
      <w:pPr>
        <w:widowControl w:val="0"/>
        <w:autoSpaceDE w:val="0"/>
        <w:autoSpaceDN w:val="0"/>
        <w:adjustRightInd w:val="0"/>
        <w:spacing w:before="40"/>
        <w:jc w:val="both"/>
        <w:rPr>
          <w:u w:val="single"/>
        </w:rPr>
      </w:pPr>
      <w:r w:rsidRPr="001A2263">
        <w:rPr>
          <w:u w:val="single"/>
        </w:rPr>
        <w:t xml:space="preserve">фактически документы поступили </w:t>
      </w:r>
      <w:r>
        <w:rPr>
          <w:u w:val="single"/>
        </w:rPr>
        <w:t>15</w:t>
      </w:r>
      <w:r w:rsidRPr="001A2263">
        <w:rPr>
          <w:u w:val="single"/>
        </w:rPr>
        <w:t>.0</w:t>
      </w:r>
      <w:r>
        <w:rPr>
          <w:u w:val="single"/>
        </w:rPr>
        <w:t>4</w:t>
      </w:r>
      <w:r w:rsidRPr="001A2263">
        <w:rPr>
          <w:u w:val="single"/>
        </w:rPr>
        <w:t>.</w:t>
      </w:r>
      <w:r>
        <w:rPr>
          <w:u w:val="single"/>
        </w:rPr>
        <w:t>2015</w:t>
      </w:r>
      <w:r w:rsidRPr="001A2263">
        <w:rPr>
          <w:u w:val="single"/>
        </w:rPr>
        <w:t>.</w:t>
      </w:r>
    </w:p>
    <w:p w:rsidR="00D0618D" w:rsidRDefault="00D0618D" w:rsidP="00D0618D">
      <w:pPr>
        <w:autoSpaceDE w:val="0"/>
        <w:autoSpaceDN w:val="0"/>
        <w:adjustRightInd w:val="0"/>
        <w:spacing w:before="60"/>
        <w:ind w:firstLine="567"/>
        <w:jc w:val="both"/>
      </w:pPr>
      <w:r w:rsidRPr="0029403D">
        <w:t xml:space="preserve">В </w:t>
      </w:r>
      <w:r>
        <w:t>соответствии</w:t>
      </w:r>
      <w:r w:rsidRPr="0029403D">
        <w:t xml:space="preserve"> пункт</w:t>
      </w:r>
      <w:r>
        <w:t>у</w:t>
      </w:r>
      <w:r w:rsidRPr="0029403D">
        <w:t xml:space="preserve"> 3 статьи 264.1 БК РФ предоставлена </w:t>
      </w:r>
      <w:r>
        <w:t xml:space="preserve">вся указанная </w:t>
      </w:r>
      <w:r w:rsidRPr="0029403D">
        <w:t>бюджетная отчётность</w:t>
      </w:r>
      <w:r>
        <w:t>.</w:t>
      </w:r>
    </w:p>
    <w:p w:rsidR="00DC1ABD" w:rsidRPr="0029403D" w:rsidRDefault="00AD4941" w:rsidP="00D572EE">
      <w:pPr>
        <w:pStyle w:val="1"/>
      </w:pPr>
      <w:r w:rsidRPr="0029403D">
        <w:t>1. </w:t>
      </w:r>
      <w:r w:rsidR="00607E5A" w:rsidRPr="0029403D">
        <w:t xml:space="preserve">Макроэкономические условия исполнения </w:t>
      </w:r>
      <w:r w:rsidR="00276E2C" w:rsidRPr="0029403D">
        <w:t xml:space="preserve">местного </w:t>
      </w:r>
      <w:r w:rsidR="00607E5A" w:rsidRPr="0029403D">
        <w:t xml:space="preserve">бюджета в </w:t>
      </w:r>
      <w:r w:rsidR="007F2993">
        <w:t>2014</w:t>
      </w:r>
      <w:r w:rsidR="00607E5A" w:rsidRPr="0029403D">
        <w:t xml:space="preserve"> году</w:t>
      </w:r>
    </w:p>
    <w:p w:rsidR="00F66D86" w:rsidRPr="0029403D" w:rsidRDefault="00F66D86" w:rsidP="00866CFE">
      <w:pPr>
        <w:ind w:firstLine="567"/>
        <w:jc w:val="both"/>
      </w:pPr>
      <w:r w:rsidRPr="0029403D">
        <w:t>Площадь территории муниципального образования</w:t>
      </w:r>
      <w:r w:rsidR="002E13A6" w:rsidRPr="0029403D">
        <w:t xml:space="preserve"> составляет </w:t>
      </w:r>
      <w:r w:rsidR="003D6767">
        <w:t>45910</w:t>
      </w:r>
      <w:r w:rsidR="00B46800">
        <w:t xml:space="preserve"> </w:t>
      </w:r>
      <w:r w:rsidR="00536FE3" w:rsidRPr="0029403D">
        <w:t>га, из них сельх</w:t>
      </w:r>
      <w:r w:rsidR="00536FE3" w:rsidRPr="0029403D">
        <w:t>о</w:t>
      </w:r>
      <w:r w:rsidR="00536FE3" w:rsidRPr="0029403D">
        <w:t xml:space="preserve">зугодия – </w:t>
      </w:r>
      <w:r w:rsidR="00A10B27">
        <w:t>44601</w:t>
      </w:r>
      <w:r w:rsidR="00536FE3" w:rsidRPr="0029403D">
        <w:t xml:space="preserve"> га или </w:t>
      </w:r>
      <w:r w:rsidR="00A10B27">
        <w:t>97,1</w:t>
      </w:r>
      <w:r w:rsidR="00536FE3" w:rsidRPr="0029403D">
        <w:t>%.</w:t>
      </w:r>
    </w:p>
    <w:p w:rsidR="002E13A6" w:rsidRPr="00A10B27" w:rsidRDefault="000F3980" w:rsidP="00F67374">
      <w:pPr>
        <w:spacing w:before="60"/>
        <w:ind w:firstLine="567"/>
        <w:jc w:val="both"/>
        <w:rPr>
          <w:spacing w:val="-2"/>
        </w:rPr>
      </w:pPr>
      <w:r w:rsidRPr="00A10B27">
        <w:rPr>
          <w:spacing w:val="-2"/>
        </w:rPr>
        <w:t xml:space="preserve">В состав </w:t>
      </w:r>
      <w:r w:rsidR="00212843" w:rsidRPr="00A10B27">
        <w:rPr>
          <w:spacing w:val="-2"/>
        </w:rPr>
        <w:t>Беркутов</w:t>
      </w:r>
      <w:r w:rsidRPr="00A10B27">
        <w:rPr>
          <w:spacing w:val="-2"/>
        </w:rPr>
        <w:t xml:space="preserve">ского сельсовета входят </w:t>
      </w:r>
      <w:r w:rsidR="002C365F" w:rsidRPr="00A10B27">
        <w:rPr>
          <w:spacing w:val="-2"/>
        </w:rPr>
        <w:t>пять</w:t>
      </w:r>
      <w:r w:rsidRPr="00A10B27">
        <w:rPr>
          <w:spacing w:val="-2"/>
        </w:rPr>
        <w:t xml:space="preserve"> населённых пункт</w:t>
      </w:r>
      <w:r w:rsidR="002C365F" w:rsidRPr="00A10B27">
        <w:rPr>
          <w:spacing w:val="-2"/>
        </w:rPr>
        <w:t>ов</w:t>
      </w:r>
      <w:r w:rsidRPr="00A10B27">
        <w:rPr>
          <w:spacing w:val="-2"/>
        </w:rPr>
        <w:t xml:space="preserve"> – </w:t>
      </w:r>
      <w:r w:rsidR="00175B20" w:rsidRPr="00A10B27">
        <w:rPr>
          <w:spacing w:val="-2"/>
        </w:rPr>
        <w:t xml:space="preserve">село </w:t>
      </w:r>
      <w:r w:rsidR="002C365F" w:rsidRPr="00A10B27">
        <w:rPr>
          <w:spacing w:val="-2"/>
        </w:rPr>
        <w:t>Набережное</w:t>
      </w:r>
      <w:r w:rsidR="000D60ED" w:rsidRPr="00A10B27">
        <w:rPr>
          <w:spacing w:val="-2"/>
        </w:rPr>
        <w:t xml:space="preserve">, посёлок </w:t>
      </w:r>
      <w:r w:rsidR="002C365F" w:rsidRPr="00A10B27">
        <w:rPr>
          <w:spacing w:val="-2"/>
        </w:rPr>
        <w:t>Гавриловка</w:t>
      </w:r>
      <w:r w:rsidR="00175B20" w:rsidRPr="00A10B27">
        <w:rPr>
          <w:spacing w:val="-2"/>
        </w:rPr>
        <w:t>, посёлок</w:t>
      </w:r>
      <w:r w:rsidR="000D60ED" w:rsidRPr="00A10B27">
        <w:rPr>
          <w:spacing w:val="-2"/>
        </w:rPr>
        <w:t xml:space="preserve"> </w:t>
      </w:r>
      <w:r w:rsidR="002C365F" w:rsidRPr="00A10B27">
        <w:rPr>
          <w:spacing w:val="-2"/>
        </w:rPr>
        <w:t>Старомихайловский</w:t>
      </w:r>
      <w:r w:rsidR="00175B20" w:rsidRPr="00A10B27">
        <w:rPr>
          <w:spacing w:val="-2"/>
        </w:rPr>
        <w:t xml:space="preserve">, </w:t>
      </w:r>
      <w:r w:rsidRPr="00A10B27">
        <w:rPr>
          <w:spacing w:val="-2"/>
        </w:rPr>
        <w:t>п</w:t>
      </w:r>
      <w:r w:rsidR="008158EE" w:rsidRPr="00A10B27">
        <w:rPr>
          <w:spacing w:val="-2"/>
        </w:rPr>
        <w:t>осёлок</w:t>
      </w:r>
      <w:r w:rsidR="000D60ED" w:rsidRPr="00A10B27">
        <w:rPr>
          <w:spacing w:val="-2"/>
        </w:rPr>
        <w:t xml:space="preserve"> Б</w:t>
      </w:r>
      <w:r w:rsidR="002C365F" w:rsidRPr="00A10B27">
        <w:rPr>
          <w:spacing w:val="-2"/>
        </w:rPr>
        <w:t>езлюдный, посёлок Беркуты</w:t>
      </w:r>
      <w:r w:rsidR="00BD3023" w:rsidRPr="00A10B27">
        <w:rPr>
          <w:spacing w:val="-2"/>
        </w:rPr>
        <w:t>.</w:t>
      </w:r>
    </w:p>
    <w:p w:rsidR="006366AE" w:rsidRPr="0029403D" w:rsidRDefault="006366AE" w:rsidP="00F67374">
      <w:pPr>
        <w:spacing w:before="60"/>
        <w:ind w:firstLine="567"/>
        <w:jc w:val="both"/>
      </w:pPr>
      <w:r w:rsidRPr="0029403D">
        <w:t xml:space="preserve">На территории муниципального образования </w:t>
      </w:r>
      <w:r w:rsidR="00241DA8">
        <w:t xml:space="preserve">одно </w:t>
      </w:r>
      <w:r w:rsidR="00241DA8" w:rsidRPr="0029403D">
        <w:t>сельскохозяйственн</w:t>
      </w:r>
      <w:r w:rsidR="00241DA8">
        <w:t>ое</w:t>
      </w:r>
      <w:r w:rsidR="00241DA8" w:rsidRPr="0029403D">
        <w:t xml:space="preserve"> предприяти</w:t>
      </w:r>
      <w:r w:rsidR="00241DA8">
        <w:t>е ЗАО «Птицефабрика «Каргатская»,</w:t>
      </w:r>
      <w:r w:rsidR="002341D9">
        <w:t xml:space="preserve"> </w:t>
      </w:r>
      <w:r w:rsidRPr="0029403D">
        <w:t>промышленн</w:t>
      </w:r>
      <w:r w:rsidR="002341D9">
        <w:t xml:space="preserve">ых </w:t>
      </w:r>
      <w:r w:rsidRPr="0029403D">
        <w:t>предприяти</w:t>
      </w:r>
      <w:r w:rsidR="002341D9">
        <w:t>й</w:t>
      </w:r>
      <w:r w:rsidR="00241DA8">
        <w:t xml:space="preserve"> нет</w:t>
      </w:r>
      <w:r w:rsidRPr="0029403D">
        <w:t xml:space="preserve">, </w:t>
      </w:r>
      <w:r w:rsidR="00A10B27">
        <w:t>два</w:t>
      </w:r>
      <w:r w:rsidR="006E5530">
        <w:t xml:space="preserve"> </w:t>
      </w:r>
      <w:r w:rsidRPr="0029403D">
        <w:t>крестьянско-фермерских хозяйств</w:t>
      </w:r>
      <w:r w:rsidR="00A10B27">
        <w:t>а</w:t>
      </w:r>
      <w:r w:rsidR="00D60C3B" w:rsidRPr="0029403D">
        <w:t>.</w:t>
      </w:r>
      <w:r w:rsidR="00E26B33" w:rsidRPr="0029403D">
        <w:t xml:space="preserve"> </w:t>
      </w:r>
    </w:p>
    <w:p w:rsidR="008D09B0" w:rsidRPr="00A10B27" w:rsidRDefault="00034F90" w:rsidP="00F67374">
      <w:pPr>
        <w:spacing w:before="60"/>
        <w:ind w:firstLine="567"/>
        <w:jc w:val="both"/>
        <w:rPr>
          <w:spacing w:val="-2"/>
        </w:rPr>
      </w:pPr>
      <w:r w:rsidRPr="00A10B27">
        <w:rPr>
          <w:spacing w:val="-2"/>
        </w:rPr>
        <w:t xml:space="preserve">В течение </w:t>
      </w:r>
      <w:r w:rsidR="007F2993" w:rsidRPr="00A10B27">
        <w:rPr>
          <w:spacing w:val="-2"/>
        </w:rPr>
        <w:t>2012</w:t>
      </w:r>
      <w:r w:rsidRPr="00A10B27">
        <w:rPr>
          <w:spacing w:val="-2"/>
        </w:rPr>
        <w:t>-</w:t>
      </w:r>
      <w:r w:rsidR="007F2993" w:rsidRPr="00A10B27">
        <w:rPr>
          <w:spacing w:val="-2"/>
        </w:rPr>
        <w:t>201</w:t>
      </w:r>
      <w:r w:rsidR="00A10B27" w:rsidRPr="00A10B27">
        <w:rPr>
          <w:spacing w:val="-2"/>
        </w:rPr>
        <w:t>3</w:t>
      </w:r>
      <w:r w:rsidRPr="00A10B27">
        <w:rPr>
          <w:spacing w:val="-2"/>
        </w:rPr>
        <w:t xml:space="preserve"> годов численность населения</w:t>
      </w:r>
      <w:r w:rsidR="00A10B27" w:rsidRPr="00A10B27">
        <w:rPr>
          <w:spacing w:val="-2"/>
        </w:rPr>
        <w:t xml:space="preserve"> снизилась</w:t>
      </w:r>
      <w:r w:rsidRPr="00A10B27">
        <w:rPr>
          <w:spacing w:val="-2"/>
        </w:rPr>
        <w:t xml:space="preserve"> с</w:t>
      </w:r>
      <w:r w:rsidR="001E2603" w:rsidRPr="00A10B27">
        <w:rPr>
          <w:spacing w:val="-2"/>
        </w:rPr>
        <w:t xml:space="preserve"> </w:t>
      </w:r>
      <w:r w:rsidR="00A10B27" w:rsidRPr="00A10B27">
        <w:rPr>
          <w:spacing w:val="-2"/>
        </w:rPr>
        <w:t>1685</w:t>
      </w:r>
      <w:r w:rsidRPr="00A10B27">
        <w:rPr>
          <w:spacing w:val="-2"/>
        </w:rPr>
        <w:t xml:space="preserve"> до </w:t>
      </w:r>
      <w:r w:rsidR="001E2603" w:rsidRPr="00A10B27">
        <w:rPr>
          <w:spacing w:val="-2"/>
        </w:rPr>
        <w:t>167</w:t>
      </w:r>
      <w:r w:rsidR="003942FE" w:rsidRPr="00A10B27">
        <w:rPr>
          <w:spacing w:val="-2"/>
        </w:rPr>
        <w:t>5</w:t>
      </w:r>
      <w:r w:rsidRPr="00A10B27">
        <w:rPr>
          <w:spacing w:val="-2"/>
        </w:rPr>
        <w:t xml:space="preserve"> человек</w:t>
      </w:r>
      <w:r w:rsidR="00A10B27" w:rsidRPr="00A10B27">
        <w:rPr>
          <w:spacing w:val="-2"/>
        </w:rPr>
        <w:t>, о</w:t>
      </w:r>
      <w:r w:rsidR="00A10B27" w:rsidRPr="00A10B27">
        <w:rPr>
          <w:spacing w:val="-2"/>
        </w:rPr>
        <w:t>д</w:t>
      </w:r>
      <w:r w:rsidR="00A10B27" w:rsidRPr="00A10B27">
        <w:rPr>
          <w:spacing w:val="-2"/>
        </w:rPr>
        <w:t>нако по итогам 2014 года численность населения (по данным органа статистики) увеличилась и составила 1695 человек</w:t>
      </w:r>
      <w:r w:rsidRPr="00A10B27">
        <w:rPr>
          <w:spacing w:val="-2"/>
        </w:rPr>
        <w:t xml:space="preserve">. </w:t>
      </w:r>
      <w:r w:rsidR="00A10B27" w:rsidRPr="00A10B27">
        <w:rPr>
          <w:spacing w:val="-2"/>
        </w:rPr>
        <w:t>Количество</w:t>
      </w:r>
      <w:r w:rsidR="008D09B0" w:rsidRPr="00A10B27">
        <w:rPr>
          <w:spacing w:val="-2"/>
        </w:rPr>
        <w:t xml:space="preserve"> трудовы</w:t>
      </w:r>
      <w:r w:rsidR="00A10B27" w:rsidRPr="00A10B27">
        <w:rPr>
          <w:spacing w:val="-2"/>
        </w:rPr>
        <w:t>х</w:t>
      </w:r>
      <w:r w:rsidR="008D09B0" w:rsidRPr="00A10B27">
        <w:rPr>
          <w:spacing w:val="-2"/>
        </w:rPr>
        <w:t xml:space="preserve"> ресурс</w:t>
      </w:r>
      <w:r w:rsidR="00A10B27" w:rsidRPr="00A10B27">
        <w:rPr>
          <w:spacing w:val="-2"/>
        </w:rPr>
        <w:t>ов снизилась</w:t>
      </w:r>
      <w:r w:rsidR="008D09B0" w:rsidRPr="00A10B27">
        <w:rPr>
          <w:spacing w:val="-2"/>
        </w:rPr>
        <w:t xml:space="preserve"> с </w:t>
      </w:r>
      <w:r w:rsidR="001E2603" w:rsidRPr="00A10B27">
        <w:rPr>
          <w:spacing w:val="-2"/>
        </w:rPr>
        <w:t>11</w:t>
      </w:r>
      <w:r w:rsidR="00A10B27" w:rsidRPr="00A10B27">
        <w:rPr>
          <w:spacing w:val="-2"/>
        </w:rPr>
        <w:t>40</w:t>
      </w:r>
      <w:r w:rsidR="008D09B0" w:rsidRPr="00A10B27">
        <w:rPr>
          <w:spacing w:val="-2"/>
        </w:rPr>
        <w:t xml:space="preserve"> до </w:t>
      </w:r>
      <w:r w:rsidR="003942FE" w:rsidRPr="00A10B27">
        <w:rPr>
          <w:spacing w:val="-2"/>
        </w:rPr>
        <w:t>1</w:t>
      </w:r>
      <w:r w:rsidR="00A10B27" w:rsidRPr="00A10B27">
        <w:rPr>
          <w:spacing w:val="-2"/>
        </w:rPr>
        <w:t>074</w:t>
      </w:r>
      <w:r w:rsidR="003942FE" w:rsidRPr="00A10B27">
        <w:rPr>
          <w:spacing w:val="-2"/>
        </w:rPr>
        <w:t xml:space="preserve"> </w:t>
      </w:r>
      <w:r w:rsidR="008D09B0" w:rsidRPr="00A10B27">
        <w:rPr>
          <w:spacing w:val="-2"/>
        </w:rPr>
        <w:t>человек.</w:t>
      </w:r>
    </w:p>
    <w:p w:rsidR="00B24A56" w:rsidRDefault="003942FE" w:rsidP="00F67374">
      <w:pPr>
        <w:spacing w:before="60"/>
        <w:ind w:firstLine="567"/>
        <w:jc w:val="both"/>
      </w:pPr>
      <w:r>
        <w:t xml:space="preserve">Объём производства </w:t>
      </w:r>
      <w:r w:rsidR="00A10B27">
        <w:t>снизился</w:t>
      </w:r>
      <w:r w:rsidR="00EF0F78">
        <w:t xml:space="preserve"> по сравнению с </w:t>
      </w:r>
      <w:r w:rsidR="007F2993">
        <w:t>201</w:t>
      </w:r>
      <w:r w:rsidR="00A10B27">
        <w:t>3</w:t>
      </w:r>
      <w:r w:rsidR="00EF0F78">
        <w:t xml:space="preserve"> годом на </w:t>
      </w:r>
      <w:r w:rsidR="00A10B27">
        <w:t>6,9</w:t>
      </w:r>
      <w:r w:rsidR="00EF0F78">
        <w:t xml:space="preserve">% с </w:t>
      </w:r>
      <w:r w:rsidR="00A10B27">
        <w:t>247,8</w:t>
      </w:r>
      <w:r w:rsidR="00EF0F78">
        <w:t xml:space="preserve"> млн. руб. до </w:t>
      </w:r>
      <w:r w:rsidR="00A10B27">
        <w:t>230,6</w:t>
      </w:r>
      <w:r w:rsidR="00EF0F78">
        <w:t xml:space="preserve"> млн. руб.</w:t>
      </w:r>
      <w:r w:rsidR="00993C69">
        <w:t xml:space="preserve"> </w:t>
      </w:r>
    </w:p>
    <w:p w:rsidR="00F67374" w:rsidRDefault="00F67374">
      <w:pPr>
        <w:rPr>
          <w:sz w:val="28"/>
        </w:rPr>
      </w:pPr>
      <w:r>
        <w:rPr>
          <w:sz w:val="28"/>
        </w:rPr>
        <w:br w:type="page"/>
      </w:r>
    </w:p>
    <w:p w:rsidR="001913E1" w:rsidRDefault="001913E1" w:rsidP="00D734A8">
      <w:pPr>
        <w:spacing w:before="20"/>
        <w:ind w:firstLine="567"/>
        <w:jc w:val="both"/>
      </w:pPr>
      <w:r w:rsidRPr="002C09FC">
        <w:rPr>
          <w:sz w:val="28"/>
        </w:rPr>
        <w:lastRenderedPageBreak/>
        <w:t>П</w:t>
      </w:r>
      <w:r w:rsidRPr="002C09FC">
        <w:t>ротяженность водопроводных сетей – 20,</w:t>
      </w:r>
      <w:r w:rsidR="00F67374">
        <w:t>8</w:t>
      </w:r>
      <w:r w:rsidRPr="002C09FC">
        <w:t xml:space="preserve"> км, из которых </w:t>
      </w:r>
      <w:r w:rsidR="00F67374">
        <w:t>35,6</w:t>
      </w:r>
      <w:r w:rsidRPr="002C09FC">
        <w:t>% ветхих, тепловых – 1,</w:t>
      </w:r>
      <w:r w:rsidR="00F67374">
        <w:t>89</w:t>
      </w:r>
      <w:r w:rsidRPr="002C09FC">
        <w:t xml:space="preserve"> км. Протяженность газопровода низкого давления – 11,</w:t>
      </w:r>
      <w:r w:rsidR="00F67374">
        <w:t>52</w:t>
      </w:r>
      <w:r w:rsidRPr="002C09FC">
        <w:t xml:space="preserve"> км.</w:t>
      </w:r>
    </w:p>
    <w:p w:rsidR="003942FE" w:rsidRPr="0029403D" w:rsidRDefault="00993C69" w:rsidP="00D734A8">
      <w:pPr>
        <w:spacing w:before="20"/>
        <w:ind w:firstLine="567"/>
        <w:jc w:val="both"/>
      </w:pPr>
      <w:r>
        <w:t xml:space="preserve">Ежегодно увеличивается </w:t>
      </w:r>
      <w:r w:rsidRPr="0029403D">
        <w:t xml:space="preserve">средняя заработная плата: с </w:t>
      </w:r>
      <w:r w:rsidR="00A10B27">
        <w:t>9810</w:t>
      </w:r>
      <w:r w:rsidRPr="0029403D">
        <w:t xml:space="preserve"> руб. в </w:t>
      </w:r>
      <w:r w:rsidR="007F2993">
        <w:t>2012</w:t>
      </w:r>
      <w:r w:rsidRPr="0029403D">
        <w:t xml:space="preserve"> году д</w:t>
      </w:r>
      <w:r>
        <w:t>о</w:t>
      </w:r>
      <w:r w:rsidRPr="0029403D">
        <w:t xml:space="preserve"> </w:t>
      </w:r>
      <w:r w:rsidR="00A10B27">
        <w:t>13270</w:t>
      </w:r>
      <w:r w:rsidRPr="0029403D">
        <w:t xml:space="preserve"> руб. в </w:t>
      </w:r>
      <w:r w:rsidR="007F2993">
        <w:t>2014</w:t>
      </w:r>
      <w:r w:rsidRPr="0029403D">
        <w:t xml:space="preserve"> году. Данный факт объясняется</w:t>
      </w:r>
      <w:r w:rsidR="001913E1">
        <w:t>, в основном,</w:t>
      </w:r>
      <w:r w:rsidRPr="0029403D">
        <w:t xml:space="preserve"> повышением заработной платы р</w:t>
      </w:r>
      <w:r w:rsidRPr="0029403D">
        <w:t>а</w:t>
      </w:r>
      <w:r w:rsidRPr="0029403D">
        <w:t>ботникам бюджетной сферы</w:t>
      </w:r>
      <w:r w:rsidR="00056CC9">
        <w:t>.</w:t>
      </w:r>
    </w:p>
    <w:p w:rsidR="00BE1AD1" w:rsidRPr="0029403D" w:rsidRDefault="00BE1AD1" w:rsidP="00D734A8">
      <w:pPr>
        <w:spacing w:before="20"/>
        <w:ind w:firstLine="567"/>
        <w:jc w:val="both"/>
      </w:pPr>
      <w:r>
        <w:t xml:space="preserve">На </w:t>
      </w:r>
      <w:r w:rsidRPr="0029403D">
        <w:t xml:space="preserve">территории муниципального образования </w:t>
      </w:r>
      <w:r w:rsidR="006E33EB">
        <w:t>две</w:t>
      </w:r>
      <w:r>
        <w:t xml:space="preserve"> </w:t>
      </w:r>
      <w:r w:rsidRPr="0029403D">
        <w:t>общеобразовательн</w:t>
      </w:r>
      <w:r>
        <w:t>ых</w:t>
      </w:r>
      <w:r w:rsidRPr="0029403D">
        <w:t xml:space="preserve"> школ</w:t>
      </w:r>
      <w:r>
        <w:t>ы</w:t>
      </w:r>
      <w:r w:rsidRPr="0029403D">
        <w:t xml:space="preserve"> на </w:t>
      </w:r>
      <w:r w:rsidR="00A10B27">
        <w:t>372</w:t>
      </w:r>
      <w:r w:rsidRPr="0029403D">
        <w:t xml:space="preserve"> мест</w:t>
      </w:r>
      <w:r w:rsidR="001913E1">
        <w:t>а</w:t>
      </w:r>
      <w:r w:rsidRPr="0029403D">
        <w:t>, в котор</w:t>
      </w:r>
      <w:r>
        <w:t>ых</w:t>
      </w:r>
      <w:r w:rsidRPr="0029403D">
        <w:t xml:space="preserve"> обучается </w:t>
      </w:r>
      <w:r w:rsidR="00A10B27">
        <w:t>189</w:t>
      </w:r>
      <w:r w:rsidRPr="0029403D">
        <w:t xml:space="preserve"> ученик</w:t>
      </w:r>
      <w:r w:rsidR="006E33EB">
        <w:t>ов</w:t>
      </w:r>
      <w:r w:rsidRPr="0029403D">
        <w:t>, а также детски</w:t>
      </w:r>
      <w:r w:rsidR="009B4697">
        <w:t>й</w:t>
      </w:r>
      <w:r w:rsidRPr="0029403D">
        <w:t xml:space="preserve"> сад на </w:t>
      </w:r>
      <w:r w:rsidR="00A10B27">
        <w:t>136</w:t>
      </w:r>
      <w:r w:rsidRPr="0029403D">
        <w:t xml:space="preserve"> мест, которы</w:t>
      </w:r>
      <w:r w:rsidR="001913E1">
        <w:t>й</w:t>
      </w:r>
      <w:r w:rsidRPr="0029403D">
        <w:t xml:space="preserve"> посещ</w:t>
      </w:r>
      <w:r w:rsidRPr="0029403D">
        <w:t>а</w:t>
      </w:r>
      <w:r w:rsidRPr="0029403D">
        <w:t xml:space="preserve">ют </w:t>
      </w:r>
      <w:r w:rsidR="00A10B27">
        <w:t>103</w:t>
      </w:r>
      <w:r w:rsidRPr="0029403D">
        <w:t xml:space="preserve"> </w:t>
      </w:r>
      <w:r w:rsidR="001913E1">
        <w:t>ребёнка</w:t>
      </w:r>
      <w:r w:rsidRPr="0029403D">
        <w:t>.</w:t>
      </w:r>
    </w:p>
    <w:p w:rsidR="008E63F1" w:rsidRPr="0029403D" w:rsidRDefault="008E63F1" w:rsidP="00D734A8">
      <w:pPr>
        <w:spacing w:before="20"/>
        <w:ind w:firstLine="567"/>
        <w:jc w:val="both"/>
      </w:pPr>
      <w:r w:rsidRPr="0029403D">
        <w:t xml:space="preserve">Площадь жилищного фонда – </w:t>
      </w:r>
      <w:r w:rsidR="005A5A57">
        <w:t>38,2</w:t>
      </w:r>
      <w:r w:rsidRPr="0029403D">
        <w:t xml:space="preserve"> тыс. м</w:t>
      </w:r>
      <w:proofErr w:type="gramStart"/>
      <w:r w:rsidRPr="0029403D">
        <w:rPr>
          <w:vertAlign w:val="superscript"/>
        </w:rPr>
        <w:t>2</w:t>
      </w:r>
      <w:proofErr w:type="gramEnd"/>
      <w:r w:rsidRPr="0029403D">
        <w:t>, в том числе площадь муниципального ж</w:t>
      </w:r>
      <w:r w:rsidRPr="0029403D">
        <w:t>и</w:t>
      </w:r>
      <w:r w:rsidRPr="0029403D">
        <w:t xml:space="preserve">лищного фонда – </w:t>
      </w:r>
      <w:r w:rsidR="00A10B27">
        <w:t>15,6</w:t>
      </w:r>
      <w:r w:rsidRPr="0029403D">
        <w:t xml:space="preserve"> тыс. м</w:t>
      </w:r>
      <w:r w:rsidRPr="0029403D">
        <w:rPr>
          <w:vertAlign w:val="superscript"/>
        </w:rPr>
        <w:t>2</w:t>
      </w:r>
      <w:r w:rsidR="00E26B33" w:rsidRPr="0029403D">
        <w:t>.</w:t>
      </w:r>
    </w:p>
    <w:p w:rsidR="006628FF" w:rsidRPr="0029403D" w:rsidRDefault="0002517C" w:rsidP="00D572EE">
      <w:pPr>
        <w:pStyle w:val="1"/>
      </w:pPr>
      <w:r w:rsidRPr="0029403D">
        <w:t xml:space="preserve">2. Соблюдение бюджетного законодательства при организации исполнения </w:t>
      </w:r>
      <w:r w:rsidR="00264072" w:rsidRPr="0029403D">
        <w:t>мес</w:t>
      </w:r>
      <w:r w:rsidR="00264072" w:rsidRPr="0029403D">
        <w:t>т</w:t>
      </w:r>
      <w:r w:rsidR="00264072" w:rsidRPr="0029403D">
        <w:t xml:space="preserve">ного бюджета </w:t>
      </w:r>
      <w:r w:rsidRPr="0029403D">
        <w:t xml:space="preserve">в </w:t>
      </w:r>
      <w:r w:rsidR="007F2993">
        <w:t>2014</w:t>
      </w:r>
      <w:r w:rsidRPr="0029403D">
        <w:t xml:space="preserve"> году</w:t>
      </w:r>
    </w:p>
    <w:p w:rsidR="0002517C" w:rsidRPr="0029403D" w:rsidRDefault="00596CD7" w:rsidP="00596CD7">
      <w:pPr>
        <w:spacing w:before="60"/>
        <w:ind w:firstLine="567"/>
        <w:jc w:val="both"/>
      </w:pPr>
      <w:r w:rsidRPr="0029403D">
        <w:t>2.</w:t>
      </w:r>
      <w:r w:rsidR="004E3D6E" w:rsidRPr="0029403D">
        <w:t xml:space="preserve">1. </w:t>
      </w:r>
      <w:proofErr w:type="gramStart"/>
      <w:r w:rsidR="00E04607" w:rsidRPr="0029403D">
        <w:t>Система</w:t>
      </w:r>
      <w:r w:rsidR="0002517C" w:rsidRPr="0029403D">
        <w:t xml:space="preserve"> исполнения </w:t>
      </w:r>
      <w:r w:rsidR="004812A7" w:rsidRPr="0029403D">
        <w:t xml:space="preserve">местного </w:t>
      </w:r>
      <w:r w:rsidR="0002517C" w:rsidRPr="0029403D">
        <w:t>бюджета соответств</w:t>
      </w:r>
      <w:r w:rsidR="00E04607" w:rsidRPr="0029403D">
        <w:t xml:space="preserve">ует </w:t>
      </w:r>
      <w:r w:rsidR="004C38CC" w:rsidRPr="0029403D">
        <w:t>БК РФ, Положению о бю</w:t>
      </w:r>
      <w:r w:rsidR="004C38CC" w:rsidRPr="0029403D">
        <w:t>д</w:t>
      </w:r>
      <w:r w:rsidR="004C38CC" w:rsidRPr="0029403D">
        <w:t>жетном процессе</w:t>
      </w:r>
      <w:r w:rsidR="0002517C" w:rsidRPr="0029403D">
        <w:t xml:space="preserve">: </w:t>
      </w:r>
      <w:r w:rsidR="00D0618D">
        <w:t>бюджетные полномочия</w:t>
      </w:r>
      <w:r w:rsidR="00D0618D" w:rsidRPr="0029403D">
        <w:t xml:space="preserve"> администрация </w:t>
      </w:r>
      <w:r w:rsidR="00D0618D">
        <w:t>Беркутов</w:t>
      </w:r>
      <w:r w:rsidR="00D0618D" w:rsidRPr="0029403D">
        <w:t>ского сельсовета</w:t>
      </w:r>
      <w:r w:rsidR="00D0618D">
        <w:t xml:space="preserve"> испо</w:t>
      </w:r>
      <w:r w:rsidR="00D0618D">
        <w:t>л</w:t>
      </w:r>
      <w:r w:rsidR="00D0618D">
        <w:t>няет</w:t>
      </w:r>
      <w:r w:rsidR="00D0618D" w:rsidRPr="0029403D">
        <w:t xml:space="preserve"> в соответстви</w:t>
      </w:r>
      <w:r w:rsidR="00D0618D">
        <w:t>е</w:t>
      </w:r>
      <w:r w:rsidR="00C473F5" w:rsidRPr="0029403D">
        <w:t xml:space="preserve"> стать</w:t>
      </w:r>
      <w:r w:rsidR="00D0618D">
        <w:t>е</w:t>
      </w:r>
      <w:r w:rsidR="00C473F5" w:rsidRPr="0029403D">
        <w:t xml:space="preserve"> 32 Положения о бюджетном процессе</w:t>
      </w:r>
      <w:r w:rsidR="00C647CB" w:rsidRPr="0029403D">
        <w:t xml:space="preserve">; </w:t>
      </w:r>
      <w:r w:rsidR="007026D6" w:rsidRPr="0029403D">
        <w:t>утверждён перечень</w:t>
      </w:r>
      <w:r w:rsidR="0002517C" w:rsidRPr="0029403D">
        <w:t xml:space="preserve"> пол</w:t>
      </w:r>
      <w:r w:rsidR="0002517C" w:rsidRPr="0029403D">
        <w:t>у</w:t>
      </w:r>
      <w:r w:rsidR="0002517C" w:rsidRPr="0029403D">
        <w:t>чателей</w:t>
      </w:r>
      <w:r w:rsidR="007026D6" w:rsidRPr="0029403D">
        <w:t xml:space="preserve"> средств местного бюджета (администрация </w:t>
      </w:r>
      <w:r w:rsidR="00212843">
        <w:t>Беркутов</w:t>
      </w:r>
      <w:r w:rsidR="007026D6" w:rsidRPr="0029403D">
        <w:t>ского сельсовета</w:t>
      </w:r>
      <w:r w:rsidR="0002517C" w:rsidRPr="0029403D">
        <w:t>,</w:t>
      </w:r>
      <w:r w:rsidR="007026D6" w:rsidRPr="0029403D">
        <w:t xml:space="preserve"> </w:t>
      </w:r>
      <w:r w:rsidR="003544B4" w:rsidRPr="0029403D">
        <w:t>муниципал</w:t>
      </w:r>
      <w:r w:rsidR="003544B4" w:rsidRPr="0029403D">
        <w:t>ь</w:t>
      </w:r>
      <w:r w:rsidR="003544B4" w:rsidRPr="0029403D">
        <w:t>ное казённое учреждение культуры «</w:t>
      </w:r>
      <w:r w:rsidR="00212843">
        <w:t>Беркутов</w:t>
      </w:r>
      <w:r w:rsidR="003544B4" w:rsidRPr="0029403D">
        <w:t>ский социально-культурный комплекс»</w:t>
      </w:r>
      <w:r w:rsidR="007026D6" w:rsidRPr="0029403D">
        <w:t>)</w:t>
      </w:r>
      <w:r w:rsidR="0002517C" w:rsidRPr="0029403D">
        <w:t>, с</w:t>
      </w:r>
      <w:r w:rsidR="0002517C" w:rsidRPr="0029403D">
        <w:t>о</w:t>
      </w:r>
      <w:r w:rsidR="0002517C" w:rsidRPr="0029403D">
        <w:t>блюд</w:t>
      </w:r>
      <w:r w:rsidR="00007D23" w:rsidRPr="0029403D">
        <w:t>ается</w:t>
      </w:r>
      <w:r w:rsidR="0002517C" w:rsidRPr="0029403D">
        <w:t xml:space="preserve"> принцип подведомственности при финансировании (отсутствие среди получат</w:t>
      </w:r>
      <w:r w:rsidR="0002517C" w:rsidRPr="0029403D">
        <w:t>е</w:t>
      </w:r>
      <w:r w:rsidR="0002517C" w:rsidRPr="0029403D">
        <w:t>лей коммерческих организаций, учреждений других бюджетов</w:t>
      </w:r>
      <w:r w:rsidR="00007D23" w:rsidRPr="0029403D">
        <w:t>)</w:t>
      </w:r>
      <w:r w:rsidR="0002517C" w:rsidRPr="0029403D">
        <w:t>.</w:t>
      </w:r>
      <w:proofErr w:type="gramEnd"/>
    </w:p>
    <w:p w:rsidR="000A4A24" w:rsidRPr="0029403D" w:rsidRDefault="00596CD7" w:rsidP="00596CD7">
      <w:pPr>
        <w:spacing w:before="60"/>
        <w:ind w:firstLine="567"/>
        <w:jc w:val="both"/>
      </w:pPr>
      <w:r w:rsidRPr="0029403D">
        <w:t>2.</w:t>
      </w:r>
      <w:r w:rsidR="004E3D6E" w:rsidRPr="0029403D">
        <w:t xml:space="preserve">2. </w:t>
      </w:r>
      <w:r w:rsidR="000A4A24" w:rsidRPr="0029403D">
        <w:t>Утверждены лимиты бюджетных обязательств, сводная бюджетная роспись, бю</w:t>
      </w:r>
      <w:r w:rsidR="000A4A24" w:rsidRPr="0029403D">
        <w:t>д</w:t>
      </w:r>
      <w:r w:rsidR="000A4A24" w:rsidRPr="0029403D">
        <w:t>жетная смета.</w:t>
      </w:r>
    </w:p>
    <w:p w:rsidR="00894DE6" w:rsidRDefault="009536C1" w:rsidP="009536C1">
      <w:pPr>
        <w:pStyle w:val="ConsNormal"/>
        <w:widowControl/>
        <w:tabs>
          <w:tab w:val="left" w:pos="1800"/>
        </w:tabs>
        <w:spacing w:before="60"/>
        <w:ind w:firstLine="567"/>
        <w:jc w:val="both"/>
        <w:rPr>
          <w:rFonts w:ascii="Times New Roman" w:hAnsi="Times New Roman"/>
          <w:sz w:val="24"/>
          <w:szCs w:val="24"/>
        </w:rPr>
      </w:pPr>
      <w:r w:rsidRPr="0029403D">
        <w:rPr>
          <w:rFonts w:ascii="Times New Roman" w:hAnsi="Times New Roman"/>
          <w:sz w:val="24"/>
          <w:szCs w:val="24"/>
        </w:rPr>
        <w:t xml:space="preserve">2.3. </w:t>
      </w:r>
      <w:r w:rsidR="001913E1">
        <w:rPr>
          <w:rFonts w:ascii="Times New Roman" w:hAnsi="Times New Roman"/>
          <w:sz w:val="24"/>
          <w:szCs w:val="24"/>
        </w:rPr>
        <w:t>Закупка</w:t>
      </w:r>
      <w:r w:rsidR="000A5EE6" w:rsidRPr="0029403D">
        <w:rPr>
          <w:rFonts w:ascii="Times New Roman" w:hAnsi="Times New Roman"/>
          <w:sz w:val="24"/>
          <w:szCs w:val="24"/>
        </w:rPr>
        <w:t xml:space="preserve"> товаров, работ, услуг для муниципальных нужд производится в соотве</w:t>
      </w:r>
      <w:r w:rsidR="000A5EE6" w:rsidRPr="0029403D">
        <w:rPr>
          <w:rFonts w:ascii="Times New Roman" w:hAnsi="Times New Roman"/>
          <w:sz w:val="24"/>
          <w:szCs w:val="24"/>
        </w:rPr>
        <w:t>т</w:t>
      </w:r>
      <w:r w:rsidR="000A5EE6" w:rsidRPr="0029403D">
        <w:rPr>
          <w:rFonts w:ascii="Times New Roman" w:hAnsi="Times New Roman"/>
          <w:sz w:val="24"/>
          <w:szCs w:val="24"/>
        </w:rPr>
        <w:t xml:space="preserve">ствие </w:t>
      </w:r>
      <w:r w:rsidR="000A5EE6" w:rsidRPr="002715B0">
        <w:rPr>
          <w:rFonts w:ascii="Times New Roman" w:hAnsi="Times New Roman"/>
          <w:sz w:val="24"/>
          <w:szCs w:val="24"/>
        </w:rPr>
        <w:t>Федеральн</w:t>
      </w:r>
      <w:r w:rsidR="001913E1">
        <w:rPr>
          <w:rFonts w:ascii="Times New Roman" w:hAnsi="Times New Roman"/>
          <w:sz w:val="24"/>
          <w:szCs w:val="24"/>
        </w:rPr>
        <w:t>ому</w:t>
      </w:r>
      <w:r w:rsidR="000A5EE6" w:rsidRPr="002715B0">
        <w:rPr>
          <w:rFonts w:ascii="Times New Roman" w:hAnsi="Times New Roman"/>
          <w:sz w:val="24"/>
          <w:szCs w:val="24"/>
        </w:rPr>
        <w:t xml:space="preserve"> закон</w:t>
      </w:r>
      <w:r w:rsidR="001913E1">
        <w:rPr>
          <w:rFonts w:ascii="Times New Roman" w:hAnsi="Times New Roman"/>
          <w:sz w:val="24"/>
          <w:szCs w:val="24"/>
        </w:rPr>
        <w:t>у</w:t>
      </w:r>
      <w:r w:rsidR="000A5EE6" w:rsidRPr="002715B0">
        <w:rPr>
          <w:rFonts w:ascii="Times New Roman" w:hAnsi="Times New Roman"/>
          <w:sz w:val="24"/>
          <w:szCs w:val="24"/>
        </w:rPr>
        <w:t xml:space="preserve"> от </w:t>
      </w:r>
      <w:r w:rsidR="000A5EE6">
        <w:rPr>
          <w:rFonts w:ascii="Times New Roman" w:hAnsi="Times New Roman"/>
          <w:sz w:val="24"/>
          <w:szCs w:val="24"/>
        </w:rPr>
        <w:t>05</w:t>
      </w:r>
      <w:r w:rsidR="000A5EE6" w:rsidRPr="002715B0">
        <w:rPr>
          <w:rFonts w:ascii="Times New Roman" w:hAnsi="Times New Roman"/>
          <w:sz w:val="24"/>
          <w:szCs w:val="24"/>
        </w:rPr>
        <w:t>.0</w:t>
      </w:r>
      <w:r w:rsidR="000A5EE6">
        <w:rPr>
          <w:rFonts w:ascii="Times New Roman" w:hAnsi="Times New Roman"/>
          <w:sz w:val="24"/>
          <w:szCs w:val="24"/>
        </w:rPr>
        <w:t>4</w:t>
      </w:r>
      <w:r w:rsidR="000A5EE6" w:rsidRPr="002715B0">
        <w:rPr>
          <w:rFonts w:ascii="Times New Roman" w:hAnsi="Times New Roman"/>
          <w:sz w:val="24"/>
          <w:szCs w:val="24"/>
        </w:rPr>
        <w:t>.20</w:t>
      </w:r>
      <w:r w:rsidR="000A5EE6">
        <w:rPr>
          <w:rFonts w:ascii="Times New Roman" w:hAnsi="Times New Roman"/>
          <w:sz w:val="24"/>
          <w:szCs w:val="24"/>
        </w:rPr>
        <w:t>13</w:t>
      </w:r>
      <w:r w:rsidR="000A5EE6" w:rsidRPr="002715B0">
        <w:rPr>
          <w:rFonts w:ascii="Times New Roman" w:hAnsi="Times New Roman"/>
          <w:sz w:val="24"/>
          <w:szCs w:val="24"/>
        </w:rPr>
        <w:t xml:space="preserve"> </w:t>
      </w:r>
      <w:r w:rsidR="000A5EE6">
        <w:rPr>
          <w:rFonts w:ascii="Times New Roman" w:hAnsi="Times New Roman"/>
          <w:sz w:val="24"/>
          <w:szCs w:val="24"/>
        </w:rPr>
        <w:t>№</w:t>
      </w:r>
      <w:r w:rsidR="000A5EE6" w:rsidRPr="002715B0">
        <w:rPr>
          <w:rFonts w:ascii="Times New Roman" w:hAnsi="Times New Roman"/>
          <w:sz w:val="24"/>
          <w:szCs w:val="24"/>
        </w:rPr>
        <w:t xml:space="preserve"> </w:t>
      </w:r>
      <w:r w:rsidR="000A5EE6">
        <w:rPr>
          <w:rFonts w:ascii="Times New Roman" w:hAnsi="Times New Roman"/>
          <w:sz w:val="24"/>
          <w:szCs w:val="24"/>
        </w:rPr>
        <w:t>4</w:t>
      </w:r>
      <w:r w:rsidR="000A5EE6" w:rsidRPr="002715B0">
        <w:rPr>
          <w:rFonts w:ascii="Times New Roman" w:hAnsi="Times New Roman"/>
          <w:sz w:val="24"/>
          <w:szCs w:val="24"/>
        </w:rPr>
        <w:t xml:space="preserve">4-ФЗ «О </w:t>
      </w:r>
      <w:r w:rsidR="000A5EE6">
        <w:rPr>
          <w:rFonts w:ascii="Times New Roman" w:hAnsi="Times New Roman"/>
          <w:sz w:val="24"/>
          <w:szCs w:val="24"/>
        </w:rPr>
        <w:t>контрактной системе в сфере закупок</w:t>
      </w:r>
      <w:r w:rsidR="000A5EE6" w:rsidRPr="002715B0">
        <w:rPr>
          <w:rFonts w:ascii="Times New Roman" w:hAnsi="Times New Roman"/>
          <w:sz w:val="24"/>
          <w:szCs w:val="24"/>
        </w:rPr>
        <w:t xml:space="preserve"> товаров, работ, услуг для </w:t>
      </w:r>
      <w:r w:rsidR="000A5EE6">
        <w:rPr>
          <w:rFonts w:ascii="Times New Roman" w:hAnsi="Times New Roman"/>
          <w:sz w:val="24"/>
          <w:szCs w:val="24"/>
        </w:rPr>
        <w:t xml:space="preserve">обеспечения </w:t>
      </w:r>
      <w:r w:rsidR="000A5EE6" w:rsidRPr="002715B0">
        <w:rPr>
          <w:rFonts w:ascii="Times New Roman" w:hAnsi="Times New Roman"/>
          <w:sz w:val="24"/>
          <w:szCs w:val="24"/>
        </w:rPr>
        <w:t>государственных и муниципальных нужд»</w:t>
      </w:r>
      <w:r w:rsidR="000A5EE6">
        <w:rPr>
          <w:rFonts w:ascii="Times New Roman" w:hAnsi="Times New Roman"/>
          <w:sz w:val="24"/>
          <w:szCs w:val="24"/>
        </w:rPr>
        <w:t>.</w:t>
      </w:r>
      <w:r w:rsidRPr="0029403D">
        <w:rPr>
          <w:rFonts w:ascii="Times New Roman" w:hAnsi="Times New Roman"/>
          <w:sz w:val="24"/>
          <w:szCs w:val="24"/>
        </w:rPr>
        <w:t xml:space="preserve"> </w:t>
      </w:r>
    </w:p>
    <w:p w:rsidR="00D0618D" w:rsidRPr="005128C4" w:rsidRDefault="00D0618D" w:rsidP="00D0618D">
      <w:pPr>
        <w:pStyle w:val="ConsNormal"/>
        <w:widowControl/>
        <w:tabs>
          <w:tab w:val="left" w:pos="1800"/>
        </w:tabs>
        <w:spacing w:before="40"/>
        <w:ind w:firstLine="567"/>
        <w:jc w:val="both"/>
        <w:rPr>
          <w:rFonts w:ascii="Times New Roman" w:hAnsi="Times New Roman"/>
          <w:b/>
          <w:i/>
          <w:sz w:val="24"/>
          <w:szCs w:val="24"/>
        </w:rPr>
      </w:pPr>
      <w:r w:rsidRPr="001D7FC1">
        <w:rPr>
          <w:rFonts w:ascii="Times New Roman" w:hAnsi="Times New Roman"/>
          <w:sz w:val="24"/>
          <w:szCs w:val="24"/>
        </w:rPr>
        <w:t>В результате анализа реестра закупок выявлено</w:t>
      </w:r>
      <w:r>
        <w:rPr>
          <w:rFonts w:ascii="Times New Roman" w:hAnsi="Times New Roman"/>
          <w:sz w:val="24"/>
          <w:szCs w:val="24"/>
        </w:rPr>
        <w:t xml:space="preserve">, что </w:t>
      </w:r>
      <w:r w:rsidRPr="001D7FC1">
        <w:rPr>
          <w:rFonts w:ascii="Times New Roman" w:hAnsi="Times New Roman"/>
          <w:sz w:val="24"/>
          <w:szCs w:val="24"/>
        </w:rPr>
        <w:t xml:space="preserve">в </w:t>
      </w:r>
      <w:r w:rsidRPr="000C129B">
        <w:rPr>
          <w:rFonts w:ascii="Times New Roman" w:hAnsi="Times New Roman"/>
          <w:b/>
          <w:i/>
          <w:sz w:val="24"/>
          <w:szCs w:val="24"/>
        </w:rPr>
        <w:t>нарушение подпункта 4 пункта 1 статьи 93 Федерального закона от 05.04.2013 № 44-ФЗ:</w:t>
      </w:r>
    </w:p>
    <w:p w:rsidR="00D0618D" w:rsidRPr="000C129B" w:rsidRDefault="00D0618D" w:rsidP="00D0618D">
      <w:pPr>
        <w:widowControl w:val="0"/>
        <w:autoSpaceDE w:val="0"/>
        <w:autoSpaceDN w:val="0"/>
        <w:adjustRightInd w:val="0"/>
        <w:spacing w:before="40"/>
        <w:ind w:firstLine="540"/>
        <w:jc w:val="both"/>
        <w:rPr>
          <w:i/>
          <w:sz w:val="20"/>
          <w:szCs w:val="20"/>
        </w:rPr>
      </w:pPr>
      <w:r w:rsidRPr="000C129B">
        <w:rPr>
          <w:i/>
          <w:sz w:val="20"/>
          <w:szCs w:val="20"/>
        </w:rPr>
        <w:t>«1. Закупка у единственного поставщика (подрядчика, исполнителя) может осуществляться заказч</w:t>
      </w:r>
      <w:r w:rsidRPr="000C129B">
        <w:rPr>
          <w:i/>
          <w:sz w:val="20"/>
          <w:szCs w:val="20"/>
        </w:rPr>
        <w:t>и</w:t>
      </w:r>
      <w:r w:rsidRPr="000C129B">
        <w:rPr>
          <w:i/>
          <w:sz w:val="20"/>
          <w:szCs w:val="20"/>
        </w:rPr>
        <w:t>ком в следующих случаях:</w:t>
      </w:r>
    </w:p>
    <w:p w:rsidR="00D0618D" w:rsidRPr="000C129B" w:rsidRDefault="00D0618D" w:rsidP="00D0618D">
      <w:pPr>
        <w:pStyle w:val="ConsPlusNormal"/>
        <w:spacing w:before="40" w:after="40"/>
        <w:ind w:firstLine="567"/>
        <w:jc w:val="both"/>
        <w:rPr>
          <w:rFonts w:ascii="Times New Roman" w:hAnsi="Times New Roman" w:cs="Times New Roman"/>
          <w:i/>
        </w:rPr>
      </w:pPr>
      <w:r w:rsidRPr="000C129B">
        <w:rPr>
          <w:rFonts w:ascii="Times New Roman" w:hAnsi="Times New Roman" w:cs="Times New Roman"/>
          <w:i/>
        </w:rPr>
        <w:t>4) осуществление закупки товара, работы или услуги на сумму, не превышающую ста тысяч рублей</w:t>
      </w:r>
      <w:r>
        <w:rPr>
          <w:rFonts w:ascii="Times New Roman" w:hAnsi="Times New Roman" w:cs="Times New Roman"/>
          <w:i/>
        </w:rPr>
        <w:t>»,</w:t>
      </w:r>
    </w:p>
    <w:p w:rsidR="00D0618D" w:rsidRDefault="00D0618D" w:rsidP="00D0618D">
      <w:pPr>
        <w:pStyle w:val="ConsPlusNormal"/>
        <w:spacing w:before="40"/>
        <w:ind w:firstLine="540"/>
        <w:jc w:val="both"/>
        <w:rPr>
          <w:rFonts w:ascii="Times New Roman" w:hAnsi="Times New Roman" w:cs="Times New Roman"/>
          <w:sz w:val="24"/>
          <w:szCs w:val="24"/>
        </w:rPr>
      </w:pPr>
      <w:r>
        <w:rPr>
          <w:rFonts w:ascii="Times New Roman" w:hAnsi="Times New Roman" w:cs="Times New Roman"/>
          <w:sz w:val="24"/>
          <w:szCs w:val="24"/>
        </w:rPr>
        <w:t>осуществлены закупки на сумму, превышающую сто тысяч рублей, а именно:</w:t>
      </w:r>
    </w:p>
    <w:p w:rsidR="00D0618D" w:rsidRDefault="00D0618D" w:rsidP="00D0618D">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xml:space="preserve">- 10.10.2014 ИП Саньков А.Н. – </w:t>
      </w:r>
      <w:r w:rsidRPr="00D0618D">
        <w:rPr>
          <w:rFonts w:ascii="Times New Roman" w:hAnsi="Times New Roman" w:cs="Times New Roman"/>
          <w:sz w:val="24"/>
          <w:szCs w:val="24"/>
        </w:rPr>
        <w:t>1</w:t>
      </w:r>
      <w:r>
        <w:rPr>
          <w:rFonts w:ascii="Times New Roman" w:hAnsi="Times New Roman" w:cs="Times New Roman"/>
          <w:sz w:val="24"/>
          <w:szCs w:val="24"/>
        </w:rPr>
        <w:t> </w:t>
      </w:r>
      <w:r w:rsidRPr="00D0618D">
        <w:rPr>
          <w:rFonts w:ascii="Times New Roman" w:hAnsi="Times New Roman" w:cs="Times New Roman"/>
          <w:sz w:val="24"/>
          <w:szCs w:val="24"/>
        </w:rPr>
        <w:t>027</w:t>
      </w:r>
      <w:r>
        <w:rPr>
          <w:rFonts w:ascii="Times New Roman" w:hAnsi="Times New Roman" w:cs="Times New Roman"/>
          <w:sz w:val="24"/>
          <w:szCs w:val="24"/>
        </w:rPr>
        <w:t xml:space="preserve"> </w:t>
      </w:r>
      <w:r w:rsidRPr="00D0618D">
        <w:rPr>
          <w:rFonts w:ascii="Times New Roman" w:hAnsi="Times New Roman" w:cs="Times New Roman"/>
          <w:sz w:val="24"/>
          <w:szCs w:val="24"/>
        </w:rPr>
        <w:t>301</w:t>
      </w:r>
      <w:r>
        <w:rPr>
          <w:rFonts w:ascii="Times New Roman" w:hAnsi="Times New Roman" w:cs="Times New Roman"/>
          <w:sz w:val="24"/>
          <w:szCs w:val="24"/>
        </w:rPr>
        <w:t>,00 руб.;</w:t>
      </w:r>
    </w:p>
    <w:p w:rsidR="00D0618D" w:rsidRDefault="00D0618D" w:rsidP="00D0618D">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- 30.10.2014 ООО «ГРАНД»  – 170 000,00 руб.;</w:t>
      </w:r>
    </w:p>
    <w:p w:rsidR="00D0618D" w:rsidRDefault="00D0618D" w:rsidP="00D0618D">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- 31.12.2014 ООО «СпецПроект» – 332 000,00 руб.;</w:t>
      </w:r>
    </w:p>
    <w:p w:rsidR="00D0618D" w:rsidRDefault="00D0618D" w:rsidP="00D0618D">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xml:space="preserve">- 31.01.2014 ОАО «Служба заказчика ЖКУ» – </w:t>
      </w:r>
      <w:r w:rsidRPr="00D0618D">
        <w:rPr>
          <w:rFonts w:ascii="Times New Roman" w:hAnsi="Times New Roman" w:cs="Times New Roman"/>
          <w:sz w:val="24"/>
          <w:szCs w:val="24"/>
        </w:rPr>
        <w:t>233</w:t>
      </w:r>
      <w:r>
        <w:rPr>
          <w:rFonts w:ascii="Times New Roman" w:hAnsi="Times New Roman" w:cs="Times New Roman"/>
          <w:sz w:val="24"/>
          <w:szCs w:val="24"/>
        </w:rPr>
        <w:t xml:space="preserve"> </w:t>
      </w:r>
      <w:r w:rsidRPr="00D0618D">
        <w:rPr>
          <w:rFonts w:ascii="Times New Roman" w:hAnsi="Times New Roman" w:cs="Times New Roman"/>
          <w:sz w:val="24"/>
          <w:szCs w:val="24"/>
        </w:rPr>
        <w:t>739</w:t>
      </w:r>
      <w:r>
        <w:rPr>
          <w:rFonts w:ascii="Times New Roman" w:hAnsi="Times New Roman" w:cs="Times New Roman"/>
          <w:sz w:val="24"/>
          <w:szCs w:val="24"/>
        </w:rPr>
        <w:t xml:space="preserve">,00 руб.; </w:t>
      </w:r>
    </w:p>
    <w:p w:rsidR="00D0618D" w:rsidRDefault="00D0618D" w:rsidP="00D0618D">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5400F">
        <w:rPr>
          <w:rFonts w:ascii="Times New Roman" w:hAnsi="Times New Roman" w:cs="Times New Roman"/>
          <w:sz w:val="24"/>
          <w:szCs w:val="24"/>
        </w:rPr>
        <w:t>02</w:t>
      </w:r>
      <w:r>
        <w:rPr>
          <w:rFonts w:ascii="Times New Roman" w:hAnsi="Times New Roman" w:cs="Times New Roman"/>
          <w:sz w:val="24"/>
          <w:szCs w:val="24"/>
        </w:rPr>
        <w:t>.</w:t>
      </w:r>
      <w:r w:rsidR="00F5400F">
        <w:rPr>
          <w:rFonts w:ascii="Times New Roman" w:hAnsi="Times New Roman" w:cs="Times New Roman"/>
          <w:sz w:val="24"/>
          <w:szCs w:val="24"/>
        </w:rPr>
        <w:t>06</w:t>
      </w:r>
      <w:r>
        <w:rPr>
          <w:rFonts w:ascii="Times New Roman" w:hAnsi="Times New Roman" w:cs="Times New Roman"/>
          <w:sz w:val="24"/>
          <w:szCs w:val="24"/>
        </w:rPr>
        <w:t xml:space="preserve">.2014 ОАО «Служба заказчика ЖКУ» – </w:t>
      </w:r>
      <w:r w:rsidR="00F5400F">
        <w:rPr>
          <w:rFonts w:ascii="Times New Roman" w:hAnsi="Times New Roman" w:cs="Times New Roman"/>
          <w:sz w:val="24"/>
          <w:szCs w:val="24"/>
        </w:rPr>
        <w:t>118 000</w:t>
      </w:r>
      <w:r>
        <w:rPr>
          <w:rFonts w:ascii="Times New Roman" w:hAnsi="Times New Roman" w:cs="Times New Roman"/>
          <w:sz w:val="24"/>
          <w:szCs w:val="24"/>
        </w:rPr>
        <w:t xml:space="preserve">,00 руб.; </w:t>
      </w:r>
    </w:p>
    <w:p w:rsidR="00F5400F" w:rsidRDefault="00F5400F" w:rsidP="00F5400F">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xml:space="preserve">- 02.06.2014 ОАО «Служба заказчика ЖКУ» – 169 864,00 руб.; </w:t>
      </w:r>
    </w:p>
    <w:p w:rsidR="00F5400F" w:rsidRDefault="00F5400F" w:rsidP="00F5400F">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xml:space="preserve">- 15.08.2014 ОАО «Служба заказчика ЖКУ» – 313 900,00 руб.; </w:t>
      </w:r>
    </w:p>
    <w:p w:rsidR="00F5400F" w:rsidRDefault="00F5400F" w:rsidP="00F5400F">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xml:space="preserve">- 20.08.2014 </w:t>
      </w:r>
      <w:r w:rsidRPr="00F5400F">
        <w:rPr>
          <w:rFonts w:ascii="Times New Roman" w:hAnsi="Times New Roman" w:cs="Times New Roman"/>
          <w:sz w:val="24"/>
          <w:szCs w:val="24"/>
        </w:rPr>
        <w:t xml:space="preserve">ООО </w:t>
      </w:r>
      <w:r>
        <w:rPr>
          <w:rFonts w:ascii="Times New Roman" w:hAnsi="Times New Roman" w:cs="Times New Roman"/>
          <w:sz w:val="24"/>
          <w:szCs w:val="24"/>
        </w:rPr>
        <w:t>«</w:t>
      </w:r>
      <w:proofErr w:type="spellStart"/>
      <w:r w:rsidRPr="00F5400F">
        <w:rPr>
          <w:rFonts w:ascii="Times New Roman" w:hAnsi="Times New Roman" w:cs="Times New Roman"/>
          <w:sz w:val="24"/>
          <w:szCs w:val="24"/>
        </w:rPr>
        <w:t>Агродорспецстрой</w:t>
      </w:r>
      <w:proofErr w:type="spellEnd"/>
      <w:r w:rsidRPr="00F5400F">
        <w:rPr>
          <w:rFonts w:ascii="Times New Roman" w:hAnsi="Times New Roman" w:cs="Times New Roman"/>
          <w:sz w:val="24"/>
          <w:szCs w:val="24"/>
        </w:rPr>
        <w:t xml:space="preserve"> К</w:t>
      </w:r>
      <w:r>
        <w:rPr>
          <w:rFonts w:ascii="Times New Roman" w:hAnsi="Times New Roman" w:cs="Times New Roman"/>
          <w:sz w:val="24"/>
          <w:szCs w:val="24"/>
        </w:rPr>
        <w:t xml:space="preserve">арасук» – </w:t>
      </w:r>
      <w:r w:rsidRPr="00F5400F">
        <w:rPr>
          <w:rFonts w:ascii="Times New Roman" w:hAnsi="Times New Roman" w:cs="Times New Roman"/>
          <w:sz w:val="24"/>
          <w:szCs w:val="24"/>
        </w:rPr>
        <w:t>2</w:t>
      </w:r>
      <w:r>
        <w:rPr>
          <w:rFonts w:ascii="Times New Roman" w:hAnsi="Times New Roman" w:cs="Times New Roman"/>
          <w:sz w:val="24"/>
          <w:szCs w:val="24"/>
        </w:rPr>
        <w:t> </w:t>
      </w:r>
      <w:r w:rsidRPr="00F5400F">
        <w:rPr>
          <w:rFonts w:ascii="Times New Roman" w:hAnsi="Times New Roman" w:cs="Times New Roman"/>
          <w:sz w:val="24"/>
          <w:szCs w:val="24"/>
        </w:rPr>
        <w:t>829</w:t>
      </w:r>
      <w:r>
        <w:rPr>
          <w:rFonts w:ascii="Times New Roman" w:hAnsi="Times New Roman" w:cs="Times New Roman"/>
          <w:sz w:val="24"/>
          <w:szCs w:val="24"/>
        </w:rPr>
        <w:t xml:space="preserve"> </w:t>
      </w:r>
      <w:r w:rsidRPr="00F5400F">
        <w:rPr>
          <w:rFonts w:ascii="Times New Roman" w:hAnsi="Times New Roman" w:cs="Times New Roman"/>
          <w:sz w:val="24"/>
          <w:szCs w:val="24"/>
        </w:rPr>
        <w:t>406,1</w:t>
      </w:r>
      <w:r>
        <w:rPr>
          <w:rFonts w:ascii="Times New Roman" w:hAnsi="Times New Roman" w:cs="Times New Roman"/>
          <w:sz w:val="24"/>
          <w:szCs w:val="24"/>
        </w:rPr>
        <w:t xml:space="preserve">0 руб.; </w:t>
      </w:r>
    </w:p>
    <w:p w:rsidR="00F5400F" w:rsidRDefault="00F5400F" w:rsidP="00F5400F">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xml:space="preserve">- 20.08.2014 </w:t>
      </w:r>
      <w:r w:rsidRPr="00F5400F">
        <w:rPr>
          <w:rFonts w:ascii="Times New Roman" w:hAnsi="Times New Roman" w:cs="Times New Roman"/>
          <w:sz w:val="24"/>
          <w:szCs w:val="24"/>
        </w:rPr>
        <w:t xml:space="preserve">ООО </w:t>
      </w:r>
      <w:r>
        <w:rPr>
          <w:rFonts w:ascii="Times New Roman" w:hAnsi="Times New Roman" w:cs="Times New Roman"/>
          <w:sz w:val="24"/>
          <w:szCs w:val="24"/>
        </w:rPr>
        <w:t>«</w:t>
      </w:r>
      <w:proofErr w:type="spellStart"/>
      <w:r w:rsidRPr="00F5400F">
        <w:rPr>
          <w:rFonts w:ascii="Times New Roman" w:hAnsi="Times New Roman" w:cs="Times New Roman"/>
          <w:sz w:val="24"/>
          <w:szCs w:val="24"/>
        </w:rPr>
        <w:t>Агродорспецстрой</w:t>
      </w:r>
      <w:proofErr w:type="spellEnd"/>
      <w:r w:rsidRPr="00F5400F">
        <w:rPr>
          <w:rFonts w:ascii="Times New Roman" w:hAnsi="Times New Roman" w:cs="Times New Roman"/>
          <w:sz w:val="24"/>
          <w:szCs w:val="24"/>
        </w:rPr>
        <w:t xml:space="preserve"> К</w:t>
      </w:r>
      <w:r>
        <w:rPr>
          <w:rFonts w:ascii="Times New Roman" w:hAnsi="Times New Roman" w:cs="Times New Roman"/>
          <w:sz w:val="24"/>
          <w:szCs w:val="24"/>
        </w:rPr>
        <w:t>арасук» – 149 000,00 руб.</w:t>
      </w:r>
    </w:p>
    <w:p w:rsidR="00D0618D" w:rsidRPr="002A4D59" w:rsidRDefault="00F5400F" w:rsidP="00F5400F">
      <w:pPr>
        <w:pStyle w:val="ConsPlusNormal"/>
        <w:spacing w:before="20"/>
        <w:ind w:left="6381" w:firstLine="0"/>
        <w:jc w:val="both"/>
        <w:rPr>
          <w:rFonts w:ascii="Times New Roman" w:hAnsi="Times New Roman" w:cs="Times New Roman"/>
          <w:i/>
          <w:sz w:val="24"/>
          <w:szCs w:val="24"/>
          <w:u w:val="single"/>
        </w:rPr>
      </w:pPr>
      <w:r w:rsidRPr="00F5400F">
        <w:rPr>
          <w:rFonts w:ascii="Times New Roman" w:hAnsi="Times New Roman" w:cs="Times New Roman"/>
          <w:i/>
          <w:sz w:val="24"/>
          <w:szCs w:val="24"/>
        </w:rPr>
        <w:t xml:space="preserve">         </w:t>
      </w:r>
      <w:r w:rsidR="00D0618D" w:rsidRPr="002A4D59">
        <w:rPr>
          <w:rFonts w:ascii="Times New Roman" w:hAnsi="Times New Roman" w:cs="Times New Roman"/>
          <w:i/>
          <w:sz w:val="24"/>
          <w:szCs w:val="24"/>
          <w:u w:val="single"/>
        </w:rPr>
        <w:t xml:space="preserve">ИТОГО: </w:t>
      </w:r>
      <w:r w:rsidRPr="00F5400F">
        <w:rPr>
          <w:rFonts w:ascii="Times New Roman" w:hAnsi="Times New Roman" w:cs="Times New Roman"/>
          <w:i/>
          <w:sz w:val="24"/>
          <w:szCs w:val="24"/>
          <w:u w:val="single"/>
        </w:rPr>
        <w:t>5</w:t>
      </w:r>
      <w:r>
        <w:rPr>
          <w:rFonts w:ascii="Times New Roman" w:hAnsi="Times New Roman" w:cs="Times New Roman"/>
          <w:i/>
          <w:sz w:val="24"/>
          <w:szCs w:val="24"/>
          <w:u w:val="single"/>
        </w:rPr>
        <w:t> </w:t>
      </w:r>
      <w:r w:rsidRPr="00F5400F">
        <w:rPr>
          <w:rFonts w:ascii="Times New Roman" w:hAnsi="Times New Roman" w:cs="Times New Roman"/>
          <w:i/>
          <w:sz w:val="24"/>
          <w:szCs w:val="24"/>
          <w:u w:val="single"/>
        </w:rPr>
        <w:t>343</w:t>
      </w:r>
      <w:r>
        <w:rPr>
          <w:rFonts w:ascii="Times New Roman" w:hAnsi="Times New Roman" w:cs="Times New Roman"/>
          <w:i/>
          <w:sz w:val="24"/>
          <w:szCs w:val="24"/>
          <w:u w:val="single"/>
        </w:rPr>
        <w:t xml:space="preserve"> </w:t>
      </w:r>
      <w:r w:rsidRPr="00F5400F">
        <w:rPr>
          <w:rFonts w:ascii="Times New Roman" w:hAnsi="Times New Roman" w:cs="Times New Roman"/>
          <w:i/>
          <w:sz w:val="24"/>
          <w:szCs w:val="24"/>
          <w:u w:val="single"/>
        </w:rPr>
        <w:t>210,10</w:t>
      </w:r>
      <w:r>
        <w:rPr>
          <w:rFonts w:ascii="Times New Roman" w:hAnsi="Times New Roman" w:cs="Times New Roman"/>
          <w:i/>
          <w:sz w:val="24"/>
          <w:szCs w:val="24"/>
          <w:u w:val="single"/>
        </w:rPr>
        <w:t xml:space="preserve"> </w:t>
      </w:r>
      <w:r w:rsidR="00D0618D" w:rsidRPr="002A4D59">
        <w:rPr>
          <w:rFonts w:ascii="Times New Roman" w:hAnsi="Times New Roman" w:cs="Times New Roman"/>
          <w:i/>
          <w:sz w:val="24"/>
          <w:szCs w:val="24"/>
          <w:u w:val="single"/>
        </w:rPr>
        <w:t>руб.</w:t>
      </w:r>
    </w:p>
    <w:p w:rsidR="00D0618D" w:rsidRPr="001D7FC1" w:rsidRDefault="009536C1" w:rsidP="00D0618D">
      <w:pPr>
        <w:pStyle w:val="ConsPlusNormal"/>
        <w:ind w:firstLine="567"/>
        <w:jc w:val="both"/>
        <w:rPr>
          <w:rFonts w:ascii="Times New Roman" w:hAnsi="Times New Roman" w:cs="Times New Roman"/>
          <w:i/>
        </w:rPr>
      </w:pPr>
      <w:r w:rsidRPr="0029403D">
        <w:rPr>
          <w:rFonts w:ascii="Times New Roman" w:hAnsi="Times New Roman" w:cs="Times New Roman"/>
          <w:sz w:val="24"/>
          <w:szCs w:val="24"/>
        </w:rPr>
        <w:t>В реестре закупок не по всем позициям присутствует краткое наименование закупа</w:t>
      </w:r>
      <w:r w:rsidRPr="0029403D">
        <w:rPr>
          <w:rFonts w:ascii="Times New Roman" w:hAnsi="Times New Roman" w:cs="Times New Roman"/>
          <w:sz w:val="24"/>
          <w:szCs w:val="24"/>
        </w:rPr>
        <w:t>е</w:t>
      </w:r>
      <w:r w:rsidRPr="0029403D">
        <w:rPr>
          <w:rFonts w:ascii="Times New Roman" w:hAnsi="Times New Roman" w:cs="Times New Roman"/>
          <w:sz w:val="24"/>
          <w:szCs w:val="24"/>
        </w:rPr>
        <w:t>мых товаров, работ и услуг</w:t>
      </w:r>
      <w:r w:rsidR="00D0618D">
        <w:rPr>
          <w:rFonts w:ascii="Times New Roman" w:hAnsi="Times New Roman" w:cs="Times New Roman"/>
          <w:sz w:val="24"/>
          <w:szCs w:val="24"/>
        </w:rPr>
        <w:t xml:space="preserve">, а также </w:t>
      </w:r>
      <w:r w:rsidR="00D0618D" w:rsidRPr="00D0618D">
        <w:rPr>
          <w:rFonts w:ascii="Times New Roman" w:hAnsi="Times New Roman" w:cs="Times New Roman"/>
          <w:sz w:val="24"/>
          <w:szCs w:val="24"/>
        </w:rPr>
        <w:t>местонахождение поставщиков, подрядчиков и исполн</w:t>
      </w:r>
      <w:r w:rsidR="00D0618D" w:rsidRPr="00D0618D">
        <w:rPr>
          <w:rFonts w:ascii="Times New Roman" w:hAnsi="Times New Roman" w:cs="Times New Roman"/>
          <w:sz w:val="24"/>
          <w:szCs w:val="24"/>
        </w:rPr>
        <w:t>и</w:t>
      </w:r>
      <w:r w:rsidR="00D0618D" w:rsidRPr="00D0618D">
        <w:rPr>
          <w:rFonts w:ascii="Times New Roman" w:hAnsi="Times New Roman" w:cs="Times New Roman"/>
          <w:sz w:val="24"/>
          <w:szCs w:val="24"/>
        </w:rPr>
        <w:t>телей услуг</w:t>
      </w:r>
      <w:r w:rsidR="00D0618D">
        <w:rPr>
          <w:rFonts w:ascii="Times New Roman" w:hAnsi="Times New Roman" w:cs="Times New Roman"/>
          <w:sz w:val="24"/>
          <w:szCs w:val="24"/>
        </w:rPr>
        <w:t>.</w:t>
      </w:r>
    </w:p>
    <w:p w:rsidR="009536C1" w:rsidRPr="0029403D" w:rsidRDefault="009536C1" w:rsidP="009536C1">
      <w:pPr>
        <w:pStyle w:val="ConsPlusNormal"/>
        <w:ind w:firstLine="540"/>
        <w:jc w:val="both"/>
        <w:rPr>
          <w:rFonts w:ascii="Times New Roman" w:hAnsi="Times New Roman" w:cs="Times New Roman"/>
          <w:sz w:val="24"/>
          <w:szCs w:val="24"/>
        </w:rPr>
      </w:pPr>
      <w:r w:rsidRPr="005128C4">
        <w:rPr>
          <w:rFonts w:ascii="Times New Roman" w:hAnsi="Times New Roman" w:cs="Times New Roman"/>
          <w:b/>
          <w:i/>
          <w:sz w:val="24"/>
          <w:szCs w:val="24"/>
        </w:rPr>
        <w:t>Тем самым нарушен пункт 2 статьи 73 БК РФ:</w:t>
      </w:r>
    </w:p>
    <w:p w:rsidR="009536C1" w:rsidRPr="001D7FC1" w:rsidRDefault="009536C1" w:rsidP="009536C1">
      <w:pPr>
        <w:pStyle w:val="ConsPlusNormal"/>
        <w:ind w:firstLine="567"/>
        <w:jc w:val="both"/>
        <w:rPr>
          <w:rFonts w:ascii="Times New Roman" w:hAnsi="Times New Roman" w:cs="Times New Roman"/>
          <w:i/>
        </w:rPr>
      </w:pPr>
      <w:r w:rsidRPr="001D7FC1">
        <w:rPr>
          <w:rFonts w:ascii="Times New Roman" w:hAnsi="Times New Roman" w:cs="Times New Roman"/>
          <w:i/>
        </w:rPr>
        <w:t>«Реестры закупок, осуществленных без заключения государственных или муниципальных контрактов, должны содержать следующие сведения:</w:t>
      </w:r>
    </w:p>
    <w:p w:rsidR="009536C1" w:rsidRPr="001D7FC1" w:rsidRDefault="009536C1" w:rsidP="009536C1">
      <w:pPr>
        <w:pStyle w:val="ConsPlusNormal"/>
        <w:ind w:firstLine="567"/>
        <w:jc w:val="both"/>
        <w:rPr>
          <w:rFonts w:ascii="Times New Roman" w:hAnsi="Times New Roman" w:cs="Times New Roman"/>
          <w:i/>
        </w:rPr>
      </w:pPr>
      <w:r w:rsidRPr="001D7FC1">
        <w:rPr>
          <w:rFonts w:ascii="Times New Roman" w:hAnsi="Times New Roman" w:cs="Times New Roman"/>
          <w:i/>
        </w:rPr>
        <w:t>краткое наименование закупаемых товаров, работ и услуг;</w:t>
      </w:r>
    </w:p>
    <w:p w:rsidR="009536C1" w:rsidRPr="001D7FC1" w:rsidRDefault="009536C1" w:rsidP="009536C1">
      <w:pPr>
        <w:pStyle w:val="ConsPlusNormal"/>
        <w:ind w:firstLine="567"/>
        <w:jc w:val="both"/>
        <w:rPr>
          <w:rFonts w:ascii="Times New Roman" w:hAnsi="Times New Roman" w:cs="Times New Roman"/>
          <w:i/>
        </w:rPr>
      </w:pPr>
      <w:r w:rsidRPr="001D7FC1">
        <w:rPr>
          <w:rFonts w:ascii="Times New Roman" w:hAnsi="Times New Roman" w:cs="Times New Roman"/>
          <w:i/>
        </w:rPr>
        <w:t>наименование и местонахождение поставщиков, подрядчиков и исполнителей услуг;</w:t>
      </w:r>
    </w:p>
    <w:p w:rsidR="002B068C" w:rsidRPr="001D7FC1" w:rsidRDefault="009536C1" w:rsidP="009536C1">
      <w:pPr>
        <w:pStyle w:val="ConsPlusNormal"/>
        <w:ind w:firstLine="567"/>
        <w:jc w:val="both"/>
        <w:rPr>
          <w:rFonts w:ascii="Times New Roman" w:hAnsi="Times New Roman" w:cs="Times New Roman"/>
          <w:i/>
        </w:rPr>
      </w:pPr>
      <w:r w:rsidRPr="001D7FC1">
        <w:rPr>
          <w:rFonts w:ascii="Times New Roman" w:hAnsi="Times New Roman" w:cs="Times New Roman"/>
          <w:i/>
        </w:rPr>
        <w:t>цена и дата закупки».</w:t>
      </w:r>
    </w:p>
    <w:p w:rsidR="00D84D97" w:rsidRPr="00995EDF" w:rsidRDefault="00596CD7" w:rsidP="00A51AA0">
      <w:pPr>
        <w:spacing w:before="60"/>
        <w:ind w:firstLine="567"/>
        <w:jc w:val="both"/>
      </w:pPr>
      <w:r w:rsidRPr="0029403D">
        <w:t>2.</w:t>
      </w:r>
      <w:r w:rsidR="007F2993">
        <w:t>4</w:t>
      </w:r>
      <w:r w:rsidR="00782AEC" w:rsidRPr="0029403D">
        <w:t xml:space="preserve">. </w:t>
      </w:r>
      <w:r w:rsidR="00464E5A" w:rsidRPr="0029403D">
        <w:t>Проанализировано общее соответствие бюджетной отчетности требованиям, предъявляемым Инструкцией, утвержденной Приказом Минфина РФ № 191н от 28.12.</w:t>
      </w:r>
      <w:r w:rsidR="0096321C">
        <w:t>2010</w:t>
      </w:r>
      <w:r w:rsidR="00464E5A" w:rsidRPr="0029403D">
        <w:t xml:space="preserve">, </w:t>
      </w:r>
      <w:r w:rsidR="00464E5A" w:rsidRPr="00995EDF">
        <w:t>необходимые формы присутствуют</w:t>
      </w:r>
      <w:r w:rsidR="00A51AA0" w:rsidRPr="00995EDF">
        <w:t>.</w:t>
      </w:r>
    </w:p>
    <w:p w:rsidR="001D7FC1" w:rsidRDefault="009465AA" w:rsidP="001D7FC1">
      <w:pPr>
        <w:spacing w:before="60"/>
        <w:ind w:firstLine="567"/>
        <w:jc w:val="both"/>
      </w:pPr>
      <w:r w:rsidRPr="00995EDF">
        <w:lastRenderedPageBreak/>
        <w:t>2.</w:t>
      </w:r>
      <w:r w:rsidR="007F2993">
        <w:t>5</w:t>
      </w:r>
      <w:r w:rsidRPr="00995EDF">
        <w:t xml:space="preserve">. </w:t>
      </w:r>
      <w:r w:rsidR="00F12D13" w:rsidRPr="00995EDF">
        <w:t>Из формы 0503169 «Сведения о дебиторской и кредиторской задолженности» сл</w:t>
      </w:r>
      <w:r w:rsidR="00F12D13" w:rsidRPr="00995EDF">
        <w:t>е</w:t>
      </w:r>
      <w:r w:rsidR="00F12D13" w:rsidRPr="00995EDF">
        <w:t>дует, что д</w:t>
      </w:r>
      <w:r w:rsidR="00B00598" w:rsidRPr="00995EDF">
        <w:t>ебиторская задолженность на 01.01.</w:t>
      </w:r>
      <w:r w:rsidR="007F2993">
        <w:t>2015</w:t>
      </w:r>
      <w:r w:rsidR="00B00598" w:rsidRPr="00995EDF">
        <w:t xml:space="preserve"> составляет </w:t>
      </w:r>
      <w:r w:rsidR="00F5400F">
        <w:t>186</w:t>
      </w:r>
      <w:r w:rsidR="0042081A">
        <w:t xml:space="preserve"> </w:t>
      </w:r>
      <w:r w:rsidR="00F5400F">
        <w:t>282,13</w:t>
      </w:r>
      <w:r w:rsidR="00DA7D4B" w:rsidRPr="00995EDF">
        <w:t xml:space="preserve"> </w:t>
      </w:r>
      <w:r w:rsidR="00B00598" w:rsidRPr="00995EDF">
        <w:t>руб.</w:t>
      </w:r>
      <w:r w:rsidR="001D7FC1">
        <w:t xml:space="preserve"> </w:t>
      </w:r>
      <w:r w:rsidR="001D7FC1" w:rsidRPr="00995EDF">
        <w:t>Данные  фо</w:t>
      </w:r>
      <w:r w:rsidR="001D7FC1" w:rsidRPr="00995EDF">
        <w:t>р</w:t>
      </w:r>
      <w:r w:rsidR="001D7FC1" w:rsidRPr="00995EDF">
        <w:t>мы 0503169 подтверждаются данными формы 0503120 «Баланс исполнения бюджета».</w:t>
      </w:r>
      <w:r w:rsidR="001D7FC1">
        <w:t xml:space="preserve"> Об</w:t>
      </w:r>
      <w:r w:rsidR="001D7FC1">
        <w:t>ъ</w:t>
      </w:r>
      <w:r w:rsidR="001D7FC1">
        <w:t xml:space="preserve">ём дебиторской задолженности по сравнению с </w:t>
      </w:r>
      <w:r w:rsidR="007F2993">
        <w:t>2013</w:t>
      </w:r>
      <w:r w:rsidR="001D7FC1">
        <w:t xml:space="preserve"> годом </w:t>
      </w:r>
      <w:r w:rsidR="00F5400F">
        <w:t>снизился</w:t>
      </w:r>
      <w:r w:rsidR="001D7FC1">
        <w:t xml:space="preserve"> на </w:t>
      </w:r>
      <w:r w:rsidR="00F5400F">
        <w:t>36</w:t>
      </w:r>
      <w:r w:rsidR="0042081A">
        <w:t xml:space="preserve"> </w:t>
      </w:r>
      <w:r w:rsidR="00F5400F">
        <w:t>951,75</w:t>
      </w:r>
      <w:r w:rsidR="001D7FC1">
        <w:t xml:space="preserve"> руб. или на </w:t>
      </w:r>
      <w:r w:rsidR="00F5400F">
        <w:t>16,6</w:t>
      </w:r>
      <w:r w:rsidR="001D7FC1">
        <w:t xml:space="preserve">%. </w:t>
      </w:r>
      <w:r w:rsidR="005A7967" w:rsidRPr="00676100">
        <w:rPr>
          <w:color w:val="000000"/>
          <w:spacing w:val="-2"/>
        </w:rPr>
        <w:t>Ревизионная комиссия отмечает, что задолженность по счету 02063</w:t>
      </w:r>
      <w:r w:rsidR="005A7967">
        <w:rPr>
          <w:color w:val="000000"/>
          <w:spacing w:val="-2"/>
        </w:rPr>
        <w:t>4</w:t>
      </w:r>
      <w:r w:rsidR="005A7967" w:rsidRPr="00676100">
        <w:rPr>
          <w:color w:val="000000"/>
          <w:spacing w:val="-2"/>
        </w:rPr>
        <w:t xml:space="preserve">000 в сумме </w:t>
      </w:r>
      <w:r w:rsidR="005A7967">
        <w:rPr>
          <w:color w:val="000000"/>
          <w:spacing w:val="-2"/>
        </w:rPr>
        <w:t>22740</w:t>
      </w:r>
      <w:r w:rsidR="005A7967" w:rsidRPr="00676100">
        <w:rPr>
          <w:color w:val="000000"/>
          <w:spacing w:val="-2"/>
        </w:rPr>
        <w:t>,</w:t>
      </w:r>
      <w:r w:rsidR="005A7967">
        <w:rPr>
          <w:color w:val="000000"/>
          <w:spacing w:val="-2"/>
        </w:rPr>
        <w:t>0</w:t>
      </w:r>
      <w:r w:rsidR="005A7967" w:rsidRPr="00676100">
        <w:rPr>
          <w:color w:val="000000"/>
          <w:spacing w:val="-2"/>
        </w:rPr>
        <w:t>0 руб. имелась по состоянию на начало и конец 2014 года.</w:t>
      </w:r>
      <w:r w:rsidR="005A7967">
        <w:rPr>
          <w:color w:val="000000"/>
          <w:spacing w:val="-2"/>
        </w:rPr>
        <w:t xml:space="preserve"> Согласно пояснению адм</w:t>
      </w:r>
      <w:r w:rsidR="005A7967">
        <w:rPr>
          <w:color w:val="000000"/>
          <w:spacing w:val="-2"/>
        </w:rPr>
        <w:t>и</w:t>
      </w:r>
      <w:r w:rsidR="005A7967">
        <w:rPr>
          <w:color w:val="000000"/>
          <w:spacing w:val="-2"/>
        </w:rPr>
        <w:t xml:space="preserve">нистрации данная дебиторская задолженность сложилась по причине неоплаты со стороны </w:t>
      </w:r>
      <w:proofErr w:type="spellStart"/>
      <w:r w:rsidR="005A7967">
        <w:rPr>
          <w:color w:val="000000"/>
          <w:spacing w:val="-2"/>
        </w:rPr>
        <w:t>Г</w:t>
      </w:r>
      <w:r w:rsidR="007126F5">
        <w:rPr>
          <w:color w:val="000000"/>
          <w:spacing w:val="-2"/>
        </w:rPr>
        <w:t>Б</w:t>
      </w:r>
      <w:r w:rsidR="005A7967">
        <w:rPr>
          <w:color w:val="000000"/>
          <w:spacing w:val="-2"/>
        </w:rPr>
        <w:t>УЗ</w:t>
      </w:r>
      <w:proofErr w:type="spellEnd"/>
      <w:r w:rsidR="007126F5">
        <w:rPr>
          <w:color w:val="000000"/>
          <w:spacing w:val="-2"/>
        </w:rPr>
        <w:t xml:space="preserve"> НСО</w:t>
      </w:r>
      <w:r w:rsidR="005A7967">
        <w:rPr>
          <w:color w:val="000000"/>
          <w:spacing w:val="-2"/>
        </w:rPr>
        <w:t xml:space="preserve"> «Каргатская </w:t>
      </w:r>
      <w:proofErr w:type="spellStart"/>
      <w:r w:rsidR="005A7967">
        <w:rPr>
          <w:color w:val="000000"/>
          <w:spacing w:val="-2"/>
        </w:rPr>
        <w:t>ЦРБ</w:t>
      </w:r>
      <w:proofErr w:type="spellEnd"/>
      <w:r w:rsidR="005A7967">
        <w:rPr>
          <w:color w:val="000000"/>
          <w:spacing w:val="-2"/>
        </w:rPr>
        <w:t>» услуг связи в порядке возмещения затрат.</w:t>
      </w:r>
    </w:p>
    <w:p w:rsidR="0042081A" w:rsidRDefault="001D7FC1" w:rsidP="0042081A">
      <w:pPr>
        <w:spacing w:before="60"/>
        <w:ind w:firstLine="567"/>
        <w:jc w:val="both"/>
      </w:pPr>
      <w:r w:rsidRPr="00995EDF">
        <w:t>Из формы 0503169 «Сведения о дебиторской и кредиторской задолженности» следует, что</w:t>
      </w:r>
      <w:r w:rsidR="00DA7D4B" w:rsidRPr="00995EDF">
        <w:t xml:space="preserve"> кредиторская</w:t>
      </w:r>
      <w:r w:rsidR="00995EDF" w:rsidRPr="00995EDF">
        <w:t xml:space="preserve"> задолженность – </w:t>
      </w:r>
      <w:r w:rsidR="005A7967" w:rsidRPr="005A7967">
        <w:t>4</w:t>
      </w:r>
      <w:r w:rsidR="0042081A">
        <w:t> </w:t>
      </w:r>
      <w:r w:rsidR="005A7967" w:rsidRPr="005A7967">
        <w:t>421</w:t>
      </w:r>
      <w:r w:rsidR="0042081A">
        <w:t xml:space="preserve"> </w:t>
      </w:r>
      <w:r w:rsidR="005A7967" w:rsidRPr="005A7967">
        <w:t>356</w:t>
      </w:r>
      <w:r w:rsidR="005A7967">
        <w:t>,</w:t>
      </w:r>
      <w:r w:rsidR="005A7967" w:rsidRPr="005A7967">
        <w:t>03</w:t>
      </w:r>
      <w:r w:rsidR="005A7967">
        <w:t xml:space="preserve"> </w:t>
      </w:r>
      <w:r w:rsidR="00995EDF" w:rsidRPr="00995EDF">
        <w:t>руб.</w:t>
      </w:r>
      <w:r w:rsidR="00B00598" w:rsidRPr="00995EDF">
        <w:t xml:space="preserve"> </w:t>
      </w:r>
      <w:r w:rsidR="00F12D13" w:rsidRPr="00995EDF">
        <w:t>Данные  формы 0503169 подтверждаю</w:t>
      </w:r>
      <w:r w:rsidR="00F12D13" w:rsidRPr="00995EDF">
        <w:t>т</w:t>
      </w:r>
      <w:r w:rsidR="00F12D13" w:rsidRPr="00995EDF">
        <w:t>ся данными формы 0503120 «Баланс исполнения бюджета».</w:t>
      </w:r>
      <w:r>
        <w:t xml:space="preserve"> Объём </w:t>
      </w:r>
      <w:r w:rsidR="007F3E2D" w:rsidRPr="00995EDF">
        <w:t>кредиторск</w:t>
      </w:r>
      <w:r w:rsidR="007F3E2D">
        <w:t>ой</w:t>
      </w:r>
      <w:r w:rsidR="007F3E2D" w:rsidRPr="00995EDF">
        <w:t xml:space="preserve"> </w:t>
      </w:r>
      <w:r>
        <w:t>задолже</w:t>
      </w:r>
      <w:r>
        <w:t>н</w:t>
      </w:r>
      <w:r>
        <w:t xml:space="preserve">ности по сравнению с </w:t>
      </w:r>
      <w:r w:rsidR="007F2993">
        <w:t>2013</w:t>
      </w:r>
      <w:r>
        <w:t xml:space="preserve"> годом </w:t>
      </w:r>
      <w:r w:rsidR="0042081A">
        <w:t>снизился</w:t>
      </w:r>
      <w:r>
        <w:t xml:space="preserve"> на </w:t>
      </w:r>
      <w:r w:rsidR="0042081A" w:rsidRPr="0042081A">
        <w:t>3</w:t>
      </w:r>
      <w:r w:rsidR="0042081A">
        <w:t> </w:t>
      </w:r>
      <w:r w:rsidR="0042081A" w:rsidRPr="0042081A">
        <w:t>832</w:t>
      </w:r>
      <w:r w:rsidR="0042081A">
        <w:t xml:space="preserve"> </w:t>
      </w:r>
      <w:r w:rsidR="0042081A" w:rsidRPr="0042081A">
        <w:t>902,10</w:t>
      </w:r>
      <w:r w:rsidR="0042081A">
        <w:t xml:space="preserve"> </w:t>
      </w:r>
      <w:r>
        <w:t xml:space="preserve">руб. или </w:t>
      </w:r>
      <w:r w:rsidR="0042081A">
        <w:t>на 46,4%</w:t>
      </w:r>
      <w:r w:rsidR="007F3E2D">
        <w:t>.</w:t>
      </w:r>
      <w:r w:rsidR="0042081A">
        <w:t xml:space="preserve"> </w:t>
      </w:r>
      <w:r w:rsidR="007F3E2D">
        <w:t>Основная з</w:t>
      </w:r>
      <w:r w:rsidR="007F3E2D">
        <w:t>а</w:t>
      </w:r>
      <w:r w:rsidR="007F3E2D">
        <w:t>долженность</w:t>
      </w:r>
      <w:r w:rsidR="0042081A">
        <w:t xml:space="preserve"> </w:t>
      </w:r>
      <w:r w:rsidR="0042081A" w:rsidRPr="00995EDF">
        <w:t xml:space="preserve">– </w:t>
      </w:r>
      <w:r w:rsidR="007F3E2D" w:rsidRPr="007F3E2D">
        <w:t>4</w:t>
      </w:r>
      <w:r w:rsidR="0042081A">
        <w:t> 3</w:t>
      </w:r>
      <w:r w:rsidR="007F3E2D" w:rsidRPr="007F3E2D">
        <w:t>52</w:t>
      </w:r>
      <w:r w:rsidR="0042081A">
        <w:t xml:space="preserve"> </w:t>
      </w:r>
      <w:r w:rsidR="007F3E2D" w:rsidRPr="007F3E2D">
        <w:t>858,23 руб</w:t>
      </w:r>
      <w:r w:rsidR="007F3E2D">
        <w:t>.</w:t>
      </w:r>
      <w:r w:rsidR="007F3E2D" w:rsidRPr="007F3E2D">
        <w:t xml:space="preserve"> </w:t>
      </w:r>
      <w:r w:rsidR="007F3E2D">
        <w:t>по газификации</w:t>
      </w:r>
      <w:r w:rsidR="007F3E2D" w:rsidRPr="007F3E2D">
        <w:t xml:space="preserve"> перед ООО </w:t>
      </w:r>
      <w:r w:rsidR="0042081A">
        <w:t>«</w:t>
      </w:r>
      <w:r w:rsidR="007F3E2D" w:rsidRPr="007F3E2D">
        <w:t>Монтаж</w:t>
      </w:r>
      <w:r w:rsidR="0042081A">
        <w:t>».</w:t>
      </w:r>
    </w:p>
    <w:p w:rsidR="0042081A" w:rsidRDefault="0042081A" w:rsidP="007F3E2D">
      <w:pPr>
        <w:spacing w:before="20"/>
        <w:ind w:firstLine="567"/>
        <w:jc w:val="both"/>
      </w:pPr>
      <w:r w:rsidRPr="00676100">
        <w:rPr>
          <w:color w:val="000000"/>
          <w:spacing w:val="-2"/>
        </w:rPr>
        <w:t xml:space="preserve">Ревизионная комиссия отмечает, что задолженность по счету </w:t>
      </w:r>
      <w:r>
        <w:rPr>
          <w:color w:val="000000"/>
          <w:spacing w:val="-2"/>
        </w:rPr>
        <w:t>030403</w:t>
      </w:r>
      <w:r w:rsidRPr="00676100">
        <w:rPr>
          <w:color w:val="000000"/>
          <w:spacing w:val="-2"/>
        </w:rPr>
        <w:t xml:space="preserve">000 в сумме </w:t>
      </w:r>
      <w:r>
        <w:rPr>
          <w:color w:val="000000"/>
          <w:spacing w:val="-2"/>
        </w:rPr>
        <w:t>18901</w:t>
      </w:r>
      <w:r w:rsidRPr="00676100">
        <w:rPr>
          <w:color w:val="000000"/>
          <w:spacing w:val="-2"/>
        </w:rPr>
        <w:t>,</w:t>
      </w:r>
      <w:r>
        <w:rPr>
          <w:color w:val="000000"/>
          <w:spacing w:val="-2"/>
        </w:rPr>
        <w:t>0</w:t>
      </w:r>
      <w:r w:rsidRPr="00676100">
        <w:rPr>
          <w:color w:val="000000"/>
          <w:spacing w:val="-2"/>
        </w:rPr>
        <w:t>0 руб. имелась по состоянию на начало и конец 2014 года.</w:t>
      </w:r>
      <w:r>
        <w:rPr>
          <w:color w:val="000000"/>
          <w:spacing w:val="-2"/>
        </w:rPr>
        <w:t xml:space="preserve"> Согласно пояснению адм</w:t>
      </w:r>
      <w:r>
        <w:rPr>
          <w:color w:val="000000"/>
          <w:spacing w:val="-2"/>
        </w:rPr>
        <w:t>и</w:t>
      </w:r>
      <w:r>
        <w:rPr>
          <w:color w:val="000000"/>
          <w:spacing w:val="-2"/>
        </w:rPr>
        <w:t xml:space="preserve">нистрации данная </w:t>
      </w:r>
      <w:r w:rsidRPr="00995EDF">
        <w:t xml:space="preserve">кредиторская </w:t>
      </w:r>
      <w:r>
        <w:rPr>
          <w:color w:val="000000"/>
          <w:spacing w:val="-2"/>
        </w:rPr>
        <w:t xml:space="preserve">задолженность фактически отсутствует, а </w:t>
      </w:r>
      <w:r w:rsidR="005D339A">
        <w:rPr>
          <w:color w:val="000000"/>
          <w:spacing w:val="-2"/>
        </w:rPr>
        <w:t>наличие</w:t>
      </w:r>
      <w:r>
        <w:rPr>
          <w:color w:val="000000"/>
          <w:spacing w:val="-2"/>
        </w:rPr>
        <w:t xml:space="preserve"> в форме 0503169 является следствием некорректного отражения операции по перечислению платё</w:t>
      </w:r>
      <w:r>
        <w:rPr>
          <w:color w:val="000000"/>
          <w:spacing w:val="-2"/>
        </w:rPr>
        <w:t>ж</w:t>
      </w:r>
      <w:r>
        <w:rPr>
          <w:color w:val="000000"/>
          <w:spacing w:val="-2"/>
        </w:rPr>
        <w:t>ным поручением. Данное несоответствие будет устранено в текущем финансовом году.</w:t>
      </w:r>
    </w:p>
    <w:p w:rsidR="009E2890" w:rsidRPr="0029403D" w:rsidRDefault="007420F7" w:rsidP="00D572EE">
      <w:pPr>
        <w:pStyle w:val="1"/>
      </w:pPr>
      <w:r w:rsidRPr="0029403D">
        <w:t>3</w:t>
      </w:r>
      <w:r w:rsidR="009E2890" w:rsidRPr="0029403D">
        <w:t xml:space="preserve">. Анализ долговой политики </w:t>
      </w:r>
      <w:r w:rsidR="00212843">
        <w:t>Беркутов</w:t>
      </w:r>
      <w:r w:rsidR="003D3C03" w:rsidRPr="0029403D">
        <w:t>ского сельсовета</w:t>
      </w:r>
    </w:p>
    <w:p w:rsidR="007420F7" w:rsidRDefault="007420F7" w:rsidP="007420F7">
      <w:pPr>
        <w:ind w:firstLine="567"/>
        <w:jc w:val="both"/>
      </w:pPr>
      <w:r w:rsidRPr="0029403D">
        <w:t xml:space="preserve">Согласно </w:t>
      </w:r>
      <w:r w:rsidR="00135AAE" w:rsidRPr="0029403D">
        <w:t>о</w:t>
      </w:r>
      <w:r w:rsidR="00726D20" w:rsidRPr="0029403D">
        <w:t xml:space="preserve">тчёту об исполнении </w:t>
      </w:r>
      <w:r w:rsidR="00C218BA" w:rsidRPr="0029403D">
        <w:t xml:space="preserve">местного </w:t>
      </w:r>
      <w:r w:rsidR="00726D20" w:rsidRPr="0029403D">
        <w:t xml:space="preserve">бюджета за </w:t>
      </w:r>
      <w:r w:rsidR="007F2993">
        <w:t>2014</w:t>
      </w:r>
      <w:r w:rsidR="00726D20" w:rsidRPr="0029403D">
        <w:t xml:space="preserve"> год</w:t>
      </w:r>
      <w:r w:rsidRPr="0029403D">
        <w:t xml:space="preserve">, доходы </w:t>
      </w:r>
      <w:r w:rsidR="00882C08" w:rsidRPr="0029403D">
        <w:t>местного бю</w:t>
      </w:r>
      <w:r w:rsidR="00882C08" w:rsidRPr="0029403D">
        <w:t>д</w:t>
      </w:r>
      <w:r w:rsidR="00882C08" w:rsidRPr="0029403D">
        <w:t>жета</w:t>
      </w:r>
      <w:r w:rsidRPr="0029403D">
        <w:t xml:space="preserve"> за </w:t>
      </w:r>
      <w:r w:rsidR="007F2993">
        <w:t>2014</w:t>
      </w:r>
      <w:r w:rsidRPr="0029403D">
        <w:rPr>
          <w:lang w:val="en-US"/>
        </w:rPr>
        <w:t> </w:t>
      </w:r>
      <w:r w:rsidRPr="0029403D">
        <w:t>г</w:t>
      </w:r>
      <w:r w:rsidR="00882C08" w:rsidRPr="0029403D">
        <w:t>од</w:t>
      </w:r>
      <w:r w:rsidRPr="0029403D">
        <w:t xml:space="preserve"> исполнены в объ</w:t>
      </w:r>
      <w:r w:rsidR="00A46E1E" w:rsidRPr="0029403D">
        <w:t>ё</w:t>
      </w:r>
      <w:r w:rsidRPr="0029403D">
        <w:t xml:space="preserve">ме </w:t>
      </w:r>
      <w:r w:rsidR="000A5EE6">
        <w:t>22466,5</w:t>
      </w:r>
      <w:r w:rsidR="00726D20" w:rsidRPr="0029403D">
        <w:t xml:space="preserve"> </w:t>
      </w:r>
      <w:r w:rsidRPr="0029403D">
        <w:t>тыс.</w:t>
      </w:r>
      <w:r w:rsidR="00726D20" w:rsidRPr="0029403D">
        <w:t xml:space="preserve"> </w:t>
      </w:r>
      <w:r w:rsidR="00CA485C" w:rsidRPr="0029403D">
        <w:t>руб.</w:t>
      </w:r>
      <w:r w:rsidRPr="0029403D">
        <w:t>, расходы</w:t>
      </w:r>
      <w:r w:rsidR="00C218BA" w:rsidRPr="0029403D">
        <w:t xml:space="preserve"> – </w:t>
      </w:r>
      <w:r w:rsidRPr="0029403D">
        <w:t>в объ</w:t>
      </w:r>
      <w:r w:rsidR="00A46E1E" w:rsidRPr="0029403D">
        <w:t>ё</w:t>
      </w:r>
      <w:r w:rsidRPr="0029403D">
        <w:t xml:space="preserve">ме </w:t>
      </w:r>
      <w:r w:rsidR="000A5EE6">
        <w:t>22349,9</w:t>
      </w:r>
      <w:r w:rsidR="00BE2D15" w:rsidRPr="0029403D">
        <w:t xml:space="preserve"> тыс. </w:t>
      </w:r>
      <w:r w:rsidR="00CA485C" w:rsidRPr="0029403D">
        <w:t>руб.</w:t>
      </w:r>
      <w:r w:rsidRPr="0029403D">
        <w:t xml:space="preserve"> Соответственно</w:t>
      </w:r>
      <w:r w:rsidR="00A46E1E" w:rsidRPr="0029403D">
        <w:t>,</w:t>
      </w:r>
      <w:r w:rsidRPr="0029403D">
        <w:t xml:space="preserve"> </w:t>
      </w:r>
      <w:r w:rsidR="00CD3208">
        <w:t>про</w:t>
      </w:r>
      <w:r w:rsidR="00976773" w:rsidRPr="0029403D">
        <w:t>фицит</w:t>
      </w:r>
      <w:r w:rsidR="00976773">
        <w:t xml:space="preserve"> </w:t>
      </w:r>
      <w:r w:rsidR="00C218BA" w:rsidRPr="0029403D">
        <w:t xml:space="preserve">местного </w:t>
      </w:r>
      <w:r w:rsidRPr="0029403D">
        <w:t xml:space="preserve">бюджета составил </w:t>
      </w:r>
      <w:r w:rsidR="000A5EE6">
        <w:t>116,6</w:t>
      </w:r>
      <w:r w:rsidR="00A46E1E" w:rsidRPr="0029403D">
        <w:t xml:space="preserve"> </w:t>
      </w:r>
      <w:r w:rsidRPr="0029403D">
        <w:t>тыс.</w:t>
      </w:r>
      <w:r w:rsidR="00A46E1E" w:rsidRPr="0029403D">
        <w:t xml:space="preserve"> </w:t>
      </w:r>
      <w:r w:rsidR="00CA485C" w:rsidRPr="0029403D">
        <w:t>руб.</w:t>
      </w:r>
      <w:r w:rsidRPr="0029403D">
        <w:t xml:space="preserve">, </w:t>
      </w:r>
      <w:r w:rsidR="002C488D" w:rsidRPr="0029403D">
        <w:t xml:space="preserve">в </w:t>
      </w:r>
      <w:r w:rsidR="007F2993">
        <w:t>2013</w:t>
      </w:r>
      <w:r w:rsidR="002C488D" w:rsidRPr="0029403D">
        <w:t xml:space="preserve"> году местный бюджет был исполнен с </w:t>
      </w:r>
      <w:r w:rsidR="00EB4A51">
        <w:t>про</w:t>
      </w:r>
      <w:r w:rsidR="002C488D" w:rsidRPr="0029403D">
        <w:t xml:space="preserve">фицитом </w:t>
      </w:r>
      <w:r w:rsidR="000A5EE6">
        <w:t>301,7</w:t>
      </w:r>
      <w:r w:rsidR="000A5EE6" w:rsidRPr="0029403D">
        <w:t xml:space="preserve"> </w:t>
      </w:r>
      <w:r w:rsidRPr="0029403D">
        <w:t>тыс.</w:t>
      </w:r>
      <w:r w:rsidR="002C488D" w:rsidRPr="0029403D">
        <w:t xml:space="preserve"> </w:t>
      </w:r>
      <w:r w:rsidR="00CA485C" w:rsidRPr="0029403D">
        <w:t>руб.</w:t>
      </w:r>
    </w:p>
    <w:p w:rsidR="009D0022" w:rsidRPr="0029403D" w:rsidRDefault="009D0022" w:rsidP="008723B0">
      <w:pPr>
        <w:spacing w:before="60"/>
        <w:ind w:firstLine="567"/>
        <w:jc w:val="both"/>
      </w:pPr>
      <w:r w:rsidRPr="00F21E1B">
        <w:t xml:space="preserve">Следует отметить, что при планировании местного бюджета на </w:t>
      </w:r>
      <w:r w:rsidR="007F2993">
        <w:t>2014</w:t>
      </w:r>
      <w:r w:rsidRPr="00F21E1B">
        <w:t xml:space="preserve"> год правильно учтены остатки средств на счетах в органе казначейства, а именно, </w:t>
      </w:r>
      <w:r w:rsidR="00B06AD0" w:rsidRPr="00F21E1B">
        <w:t>согласно отчёту формы 0503140 «Баланс по поступлениям и выбытиям бюджетных средств»</w:t>
      </w:r>
      <w:r w:rsidRPr="00F21E1B">
        <w:t xml:space="preserve"> остаток средств на 01.01.</w:t>
      </w:r>
      <w:r w:rsidR="007F2993">
        <w:t>2014</w:t>
      </w:r>
      <w:r w:rsidRPr="00F21E1B">
        <w:t xml:space="preserve"> – </w:t>
      </w:r>
      <w:r w:rsidR="000A5EE6">
        <w:t>552941,18</w:t>
      </w:r>
      <w:r w:rsidRPr="00F21E1B">
        <w:t xml:space="preserve"> руб., фактически в источниках финансирования дефицита бюджета запланировано </w:t>
      </w:r>
      <w:r w:rsidR="000A5EE6">
        <w:t>552941,18</w:t>
      </w:r>
      <w:r w:rsidR="000A5EE6" w:rsidRPr="00F21E1B">
        <w:t xml:space="preserve"> </w:t>
      </w:r>
      <w:r w:rsidRPr="00F21E1B">
        <w:t>руб. Несоответстви</w:t>
      </w:r>
      <w:r w:rsidR="00CE3E96">
        <w:t>я нет.</w:t>
      </w:r>
    </w:p>
    <w:p w:rsidR="00F17157" w:rsidRPr="0029403D" w:rsidRDefault="00665379" w:rsidP="00D572EE">
      <w:pPr>
        <w:pStyle w:val="1"/>
      </w:pPr>
      <w:r w:rsidRPr="0029403D">
        <w:t>4</w:t>
      </w:r>
      <w:r w:rsidR="00923DA5" w:rsidRPr="0029403D">
        <w:t>. </w:t>
      </w:r>
      <w:r w:rsidR="00F17157" w:rsidRPr="0029403D">
        <w:t xml:space="preserve">Анализ </w:t>
      </w:r>
      <w:r w:rsidR="00287802" w:rsidRPr="0029403D">
        <w:t>исполнения</w:t>
      </w:r>
      <w:r w:rsidR="00F17157" w:rsidRPr="0029403D">
        <w:t xml:space="preserve"> доходов </w:t>
      </w:r>
      <w:r w:rsidR="00882C08" w:rsidRPr="0029403D">
        <w:t>местного бюджета</w:t>
      </w:r>
    </w:p>
    <w:p w:rsidR="00816F79" w:rsidRDefault="00F1605F" w:rsidP="00254658">
      <w:pPr>
        <w:ind w:firstLine="567"/>
        <w:jc w:val="both"/>
      </w:pPr>
      <w:r w:rsidRPr="004E49FA">
        <w:t xml:space="preserve">Местный бюджет на </w:t>
      </w:r>
      <w:r w:rsidR="007F2993">
        <w:t>2014</w:t>
      </w:r>
      <w:r w:rsidRPr="004E49FA">
        <w:t xml:space="preserve"> год по доходам в </w:t>
      </w:r>
      <w:r w:rsidR="00200EDB" w:rsidRPr="004E49FA">
        <w:t>объёме</w:t>
      </w:r>
      <w:r w:rsidRPr="004E49FA">
        <w:t xml:space="preserve"> </w:t>
      </w:r>
      <w:r w:rsidR="005009AF">
        <w:t>13428,4</w:t>
      </w:r>
      <w:r w:rsidR="00200EDB" w:rsidRPr="004E49FA">
        <w:t xml:space="preserve"> тыс. </w:t>
      </w:r>
      <w:r w:rsidR="00CA485C" w:rsidRPr="004E49FA">
        <w:t>руб.</w:t>
      </w:r>
      <w:r w:rsidRPr="004E49FA">
        <w:t xml:space="preserve"> утверждён</w:t>
      </w:r>
      <w:r w:rsidR="00200EDB" w:rsidRPr="004E49FA">
        <w:t xml:space="preserve"> реш</w:t>
      </w:r>
      <w:r w:rsidR="00200EDB" w:rsidRPr="004E49FA">
        <w:t>е</w:t>
      </w:r>
      <w:r w:rsidR="00200EDB" w:rsidRPr="004E49FA">
        <w:t xml:space="preserve">нием </w:t>
      </w:r>
      <w:r w:rsidR="00CE3E96">
        <w:t>2</w:t>
      </w:r>
      <w:r w:rsidR="005009AF">
        <w:t>8</w:t>
      </w:r>
      <w:r w:rsidR="00200EDB" w:rsidRPr="004E49FA">
        <w:t xml:space="preserve"> сессии 4 созыва Совета депутатов </w:t>
      </w:r>
      <w:r w:rsidR="00212843">
        <w:t>Беркутов</w:t>
      </w:r>
      <w:r w:rsidR="00200EDB" w:rsidRPr="004E49FA">
        <w:t>ского сельсовета Каргатского района Н</w:t>
      </w:r>
      <w:r w:rsidR="00200EDB" w:rsidRPr="004E49FA">
        <w:t>о</w:t>
      </w:r>
      <w:r w:rsidR="00200EDB" w:rsidRPr="004E49FA">
        <w:t>восибирской области</w:t>
      </w:r>
      <w:r w:rsidR="00E676E9" w:rsidRPr="004E49FA">
        <w:t xml:space="preserve"> о</w:t>
      </w:r>
      <w:r w:rsidR="00EB40C2">
        <w:t>т</w:t>
      </w:r>
      <w:r w:rsidR="00E676E9" w:rsidRPr="004E49FA">
        <w:t xml:space="preserve"> </w:t>
      </w:r>
      <w:r w:rsidR="005009AF">
        <w:t>24</w:t>
      </w:r>
      <w:r w:rsidR="00E676E9" w:rsidRPr="004E49FA">
        <w:t>.1</w:t>
      </w:r>
      <w:r w:rsidR="0002466F" w:rsidRPr="004E49FA">
        <w:t>2</w:t>
      </w:r>
      <w:r w:rsidR="00E676E9" w:rsidRPr="004E49FA">
        <w:t>.</w:t>
      </w:r>
      <w:r w:rsidR="007F2993">
        <w:t>2013</w:t>
      </w:r>
      <w:r w:rsidR="00E676E9" w:rsidRPr="004E49FA">
        <w:t xml:space="preserve"> № </w:t>
      </w:r>
      <w:r w:rsidR="005009AF">
        <w:t>144</w:t>
      </w:r>
      <w:r w:rsidR="00E676E9" w:rsidRPr="00816F79">
        <w:t>.</w:t>
      </w:r>
      <w:r w:rsidR="003D4373" w:rsidRPr="00816F79">
        <w:t xml:space="preserve"> </w:t>
      </w:r>
    </w:p>
    <w:p w:rsidR="004D35A4" w:rsidRPr="00816F79" w:rsidRDefault="005009AF" w:rsidP="008723B0">
      <w:pPr>
        <w:spacing w:before="60"/>
        <w:ind w:firstLine="567"/>
        <w:jc w:val="both"/>
      </w:pPr>
      <w:r w:rsidRPr="00AF4B49">
        <w:t xml:space="preserve">Решениями от </w:t>
      </w:r>
      <w:r>
        <w:t>26</w:t>
      </w:r>
      <w:r w:rsidRPr="00AF4B49">
        <w:t>.</w:t>
      </w:r>
      <w:r>
        <w:t>03</w:t>
      </w:r>
      <w:r w:rsidRPr="00AF4B49">
        <w:t>.</w:t>
      </w:r>
      <w:r>
        <w:t>2014</w:t>
      </w:r>
      <w:r w:rsidRPr="00AF4B49">
        <w:t xml:space="preserve"> № </w:t>
      </w:r>
      <w:r>
        <w:t>156</w:t>
      </w:r>
      <w:r w:rsidRPr="00AF4B49">
        <w:t xml:space="preserve">, от </w:t>
      </w:r>
      <w:r>
        <w:t>14</w:t>
      </w:r>
      <w:r w:rsidRPr="00AF4B49">
        <w:t>.0</w:t>
      </w:r>
      <w:r>
        <w:t>8</w:t>
      </w:r>
      <w:r w:rsidRPr="00AF4B49">
        <w:t>.</w:t>
      </w:r>
      <w:r>
        <w:t>2014</w:t>
      </w:r>
      <w:r w:rsidRPr="00AF4B49">
        <w:t xml:space="preserve"> № </w:t>
      </w:r>
      <w:r>
        <w:t>169</w:t>
      </w:r>
      <w:r w:rsidRPr="00AF4B49">
        <w:t xml:space="preserve">, от </w:t>
      </w:r>
      <w:r>
        <w:t>23</w:t>
      </w:r>
      <w:r w:rsidRPr="00AF4B49">
        <w:t>.12.</w:t>
      </w:r>
      <w:r>
        <w:t>2014</w:t>
      </w:r>
      <w:r w:rsidRPr="00AF4B49">
        <w:t xml:space="preserve"> № </w:t>
      </w:r>
      <w:r>
        <w:t>180</w:t>
      </w:r>
      <w:r w:rsidRPr="00AF4B49">
        <w:t xml:space="preserve"> были внес</w:t>
      </w:r>
      <w:r w:rsidRPr="00AF4B49">
        <w:t>е</w:t>
      </w:r>
      <w:r w:rsidRPr="00AF4B49">
        <w:t xml:space="preserve">ны изменения в плановые назначения по доходам. По итогам </w:t>
      </w:r>
      <w:r>
        <w:t xml:space="preserve">всех </w:t>
      </w:r>
      <w:r w:rsidRPr="00AF4B49">
        <w:t>внесённых изменений уточнённый объём доходов</w:t>
      </w:r>
      <w:r>
        <w:t xml:space="preserve"> составляет 22933,4 тыс. руб.</w:t>
      </w:r>
      <w:r w:rsidR="00165378">
        <w:t>, что соответствует общему объёму</w:t>
      </w:r>
      <w:r w:rsidR="00165378" w:rsidRPr="00816F79">
        <w:t xml:space="preserve"> доход</w:t>
      </w:r>
      <w:r w:rsidR="00165378">
        <w:t>ов</w:t>
      </w:r>
      <w:r w:rsidR="00165378" w:rsidRPr="00816F79">
        <w:t xml:space="preserve"> </w:t>
      </w:r>
      <w:r w:rsidR="00165378">
        <w:t xml:space="preserve">в отчёте об исполнении местного бюджета за </w:t>
      </w:r>
      <w:r w:rsidR="007F2993">
        <w:t>2014</w:t>
      </w:r>
      <w:r w:rsidR="00165378">
        <w:t xml:space="preserve"> год</w:t>
      </w:r>
      <w:r w:rsidR="00CE3E96">
        <w:t>.</w:t>
      </w:r>
    </w:p>
    <w:p w:rsidR="00B80AA4" w:rsidRPr="0029403D" w:rsidRDefault="00B80AA4" w:rsidP="008723B0">
      <w:pPr>
        <w:spacing w:before="60"/>
        <w:ind w:firstLine="567"/>
        <w:jc w:val="both"/>
      </w:pPr>
      <w:r w:rsidRPr="0029403D">
        <w:t xml:space="preserve">Исполнение местного бюджета по доходам за </w:t>
      </w:r>
      <w:r w:rsidR="007F2993">
        <w:t>2014</w:t>
      </w:r>
      <w:r w:rsidRPr="0029403D">
        <w:t xml:space="preserve"> год составило </w:t>
      </w:r>
      <w:r w:rsidR="000A5EE6">
        <w:t>22466,5</w:t>
      </w:r>
      <w:r w:rsidRPr="0029403D">
        <w:t xml:space="preserve"> тыс. </w:t>
      </w:r>
      <w:r w:rsidR="00CA485C" w:rsidRPr="0029403D">
        <w:t>руб.</w:t>
      </w:r>
      <w:r w:rsidRPr="0029403D">
        <w:t xml:space="preserve"> или </w:t>
      </w:r>
      <w:r w:rsidR="000A5EE6">
        <w:t>98</w:t>
      </w:r>
      <w:r w:rsidR="00CE3E96">
        <w:t>,0</w:t>
      </w:r>
      <w:r w:rsidRPr="0029403D">
        <w:t>% к плану</w:t>
      </w:r>
      <w:r w:rsidR="00667AE3">
        <w:t xml:space="preserve"> </w:t>
      </w:r>
      <w:r w:rsidR="00667AE3" w:rsidRPr="0029403D">
        <w:t>(</w:t>
      </w:r>
      <w:r w:rsidR="00D01A8F">
        <w:t>недоисполнение</w:t>
      </w:r>
      <w:r w:rsidR="00667AE3" w:rsidRPr="0029403D">
        <w:t xml:space="preserve"> – </w:t>
      </w:r>
      <w:r w:rsidR="000A5EE6">
        <w:t>466,9</w:t>
      </w:r>
      <w:r w:rsidR="00667AE3" w:rsidRPr="0029403D">
        <w:t xml:space="preserve"> тыс. руб.)</w:t>
      </w:r>
      <w:r w:rsidR="00667AE3">
        <w:t>.</w:t>
      </w:r>
    </w:p>
    <w:p w:rsidR="00006951" w:rsidRPr="0029403D" w:rsidRDefault="00006951" w:rsidP="008723B0">
      <w:pPr>
        <w:spacing w:before="60"/>
        <w:ind w:firstLine="567"/>
        <w:jc w:val="both"/>
      </w:pPr>
      <w:r w:rsidRPr="0029403D">
        <w:t xml:space="preserve">Из общей суммы доходов налоговые и неналоговые поступления составили </w:t>
      </w:r>
      <w:r w:rsidR="000A5EE6">
        <w:t>1455,0</w:t>
      </w:r>
      <w:r w:rsidRPr="0029403D">
        <w:t xml:space="preserve"> тыс. </w:t>
      </w:r>
      <w:r w:rsidR="00CA485C" w:rsidRPr="0029403D">
        <w:t>руб.</w:t>
      </w:r>
      <w:r w:rsidRPr="0029403D">
        <w:t xml:space="preserve"> или </w:t>
      </w:r>
      <w:r w:rsidR="000A5EE6">
        <w:t>6,5</w:t>
      </w:r>
      <w:r w:rsidRPr="0029403D">
        <w:t xml:space="preserve">%, безвозмездные поступления – </w:t>
      </w:r>
      <w:r w:rsidR="000A5EE6">
        <w:t>21011,5</w:t>
      </w:r>
      <w:r w:rsidRPr="0029403D">
        <w:t> тыс.</w:t>
      </w:r>
      <w:r w:rsidR="00C1658D" w:rsidRPr="0029403D">
        <w:t xml:space="preserve"> </w:t>
      </w:r>
      <w:r w:rsidR="00CA485C" w:rsidRPr="0029403D">
        <w:t>руб.</w:t>
      </w:r>
      <w:r w:rsidRPr="0029403D">
        <w:t xml:space="preserve"> или </w:t>
      </w:r>
      <w:r w:rsidR="000A5EE6">
        <w:t>93,5</w:t>
      </w:r>
      <w:r w:rsidRPr="0029403D">
        <w:t>%.</w:t>
      </w:r>
    </w:p>
    <w:p w:rsidR="001328F1" w:rsidRPr="0029403D" w:rsidRDefault="001328F1" w:rsidP="008723B0">
      <w:pPr>
        <w:spacing w:before="60"/>
        <w:ind w:firstLine="567"/>
        <w:jc w:val="both"/>
      </w:pPr>
      <w:r w:rsidRPr="0029403D">
        <w:t xml:space="preserve">По сравнению с предыдущим годом поступления в </w:t>
      </w:r>
      <w:r w:rsidR="003D272D" w:rsidRPr="0029403D">
        <w:t>местный</w:t>
      </w:r>
      <w:r w:rsidRPr="0029403D">
        <w:t xml:space="preserve"> бюджет в целом </w:t>
      </w:r>
      <w:r w:rsidR="00CE3E96">
        <w:t>увелич</w:t>
      </w:r>
      <w:r w:rsidR="00CE3E96">
        <w:t>и</w:t>
      </w:r>
      <w:r w:rsidR="00CE3E96">
        <w:t>лись</w:t>
      </w:r>
      <w:r w:rsidRPr="0029403D">
        <w:t xml:space="preserve"> на </w:t>
      </w:r>
      <w:r w:rsidR="000A5EE6">
        <w:t>7905,4</w:t>
      </w:r>
      <w:r w:rsidR="004E64C9" w:rsidRPr="004E64C9">
        <w:t xml:space="preserve"> </w:t>
      </w:r>
      <w:r w:rsidRPr="0029403D">
        <w:t>тыс.</w:t>
      </w:r>
      <w:r w:rsidR="003D272D" w:rsidRPr="0029403D">
        <w:t xml:space="preserve"> </w:t>
      </w:r>
      <w:r w:rsidR="00CA485C" w:rsidRPr="0029403D">
        <w:t>руб.</w:t>
      </w:r>
      <w:r w:rsidRPr="0029403D">
        <w:t xml:space="preserve"> или </w:t>
      </w:r>
      <w:r w:rsidR="000A5EE6">
        <w:t>на 54,3</w:t>
      </w:r>
      <w:r w:rsidRPr="0029403D">
        <w:t xml:space="preserve">%, в том числе </w:t>
      </w:r>
      <w:r w:rsidR="001946F6" w:rsidRPr="0029403D">
        <w:t xml:space="preserve">налоговые и неналоговые поступления </w:t>
      </w:r>
      <w:r w:rsidR="00CE3E96">
        <w:t>увеличились</w:t>
      </w:r>
      <w:r w:rsidR="00CE3E96" w:rsidRPr="0029403D">
        <w:t xml:space="preserve"> </w:t>
      </w:r>
      <w:r w:rsidR="002308B9" w:rsidRPr="0029403D">
        <w:t>на</w:t>
      </w:r>
      <w:r w:rsidR="00D912CC" w:rsidRPr="0029403D">
        <w:t xml:space="preserve"> </w:t>
      </w:r>
      <w:r w:rsidR="000A5EE6">
        <w:t>187,9</w:t>
      </w:r>
      <w:r w:rsidR="001946F6" w:rsidRPr="0029403D">
        <w:t xml:space="preserve"> тыс. </w:t>
      </w:r>
      <w:r w:rsidR="00CA485C" w:rsidRPr="0029403D">
        <w:t>руб.</w:t>
      </w:r>
      <w:r w:rsidR="001946F6" w:rsidRPr="0029403D">
        <w:t xml:space="preserve"> или </w:t>
      </w:r>
      <w:r w:rsidR="000A5EE6">
        <w:t>на 14,8</w:t>
      </w:r>
      <w:r w:rsidR="001946F6" w:rsidRPr="0029403D">
        <w:t>%, безвозмездные</w:t>
      </w:r>
      <w:r w:rsidR="002308B9" w:rsidRPr="0029403D">
        <w:t xml:space="preserve"> поступления</w:t>
      </w:r>
      <w:r w:rsidR="001946F6" w:rsidRPr="0029403D">
        <w:t xml:space="preserve"> </w:t>
      </w:r>
      <w:r w:rsidR="00CE3E96">
        <w:t>увеличились</w:t>
      </w:r>
      <w:r w:rsidR="00CE3E96" w:rsidRPr="0029403D">
        <w:t xml:space="preserve"> </w:t>
      </w:r>
      <w:r w:rsidR="002308B9" w:rsidRPr="0029403D">
        <w:t xml:space="preserve">на </w:t>
      </w:r>
      <w:r w:rsidR="000A5EE6">
        <w:t>7717,5</w:t>
      </w:r>
      <w:r w:rsidR="002308B9" w:rsidRPr="0029403D">
        <w:t xml:space="preserve"> тыс. </w:t>
      </w:r>
      <w:r w:rsidR="00CA485C" w:rsidRPr="0029403D">
        <w:t>руб.</w:t>
      </w:r>
      <w:r w:rsidR="002308B9" w:rsidRPr="0029403D">
        <w:t xml:space="preserve"> или </w:t>
      </w:r>
      <w:proofErr w:type="gramStart"/>
      <w:r w:rsidR="000A5EE6">
        <w:t>на</w:t>
      </w:r>
      <w:proofErr w:type="gramEnd"/>
      <w:r w:rsidR="000A5EE6">
        <w:t xml:space="preserve"> 58,1</w:t>
      </w:r>
      <w:r w:rsidR="002308B9" w:rsidRPr="0029403D">
        <w:t>%</w:t>
      </w:r>
      <w:r w:rsidRPr="0029403D">
        <w:t>.</w:t>
      </w:r>
      <w:r w:rsidR="003C2211">
        <w:t xml:space="preserve"> </w:t>
      </w:r>
    </w:p>
    <w:p w:rsidR="005E15EC" w:rsidRPr="0029403D" w:rsidRDefault="005E15EC" w:rsidP="005E15EC">
      <w:pPr>
        <w:spacing w:before="120"/>
        <w:ind w:firstLine="567"/>
        <w:jc w:val="both"/>
      </w:pPr>
      <w:r w:rsidRPr="00E56C9E">
        <w:rPr>
          <w:b/>
          <w:bCs/>
          <w:iCs/>
        </w:rPr>
        <w:t>Налоговые доходы</w:t>
      </w:r>
      <w:r w:rsidRPr="00E56C9E">
        <w:rPr>
          <w:bCs/>
          <w:iCs/>
        </w:rPr>
        <w:t xml:space="preserve"> местного бюджета </w:t>
      </w:r>
      <w:r w:rsidR="008608CA" w:rsidRPr="00E56C9E">
        <w:rPr>
          <w:bCs/>
          <w:iCs/>
        </w:rPr>
        <w:t>з</w:t>
      </w:r>
      <w:r w:rsidRPr="00E56C9E">
        <w:rPr>
          <w:bCs/>
          <w:iCs/>
        </w:rPr>
        <w:t xml:space="preserve">а </w:t>
      </w:r>
      <w:r w:rsidR="007F2993">
        <w:rPr>
          <w:bCs/>
          <w:iCs/>
        </w:rPr>
        <w:t>2014</w:t>
      </w:r>
      <w:r w:rsidRPr="00E56C9E">
        <w:rPr>
          <w:bCs/>
          <w:iCs/>
        </w:rPr>
        <w:t xml:space="preserve"> год </w:t>
      </w:r>
      <w:r w:rsidR="008608CA" w:rsidRPr="00E56C9E">
        <w:rPr>
          <w:bCs/>
          <w:iCs/>
        </w:rPr>
        <w:t>исполнены</w:t>
      </w:r>
      <w:r w:rsidRPr="00E56C9E">
        <w:rPr>
          <w:bCs/>
          <w:iCs/>
        </w:rPr>
        <w:t xml:space="preserve"> в объеме </w:t>
      </w:r>
      <w:r w:rsidR="000A5EE6">
        <w:rPr>
          <w:bCs/>
          <w:iCs/>
        </w:rPr>
        <w:t>1240</w:t>
      </w:r>
      <w:r w:rsidR="00CE3E96">
        <w:rPr>
          <w:bCs/>
          <w:iCs/>
        </w:rPr>
        <w:t>,0</w:t>
      </w:r>
      <w:r w:rsidRPr="00E56C9E">
        <w:rPr>
          <w:bCs/>
          <w:iCs/>
        </w:rPr>
        <w:t xml:space="preserve"> тыс. руб. </w:t>
      </w:r>
      <w:r w:rsidR="00356683" w:rsidRPr="00E56C9E">
        <w:rPr>
          <w:bCs/>
          <w:iCs/>
        </w:rPr>
        <w:t xml:space="preserve">или </w:t>
      </w:r>
      <w:r w:rsidR="000A5EE6">
        <w:rPr>
          <w:bCs/>
          <w:iCs/>
        </w:rPr>
        <w:t>100,3</w:t>
      </w:r>
      <w:r w:rsidR="00CB7F16" w:rsidRPr="00E56C9E">
        <w:rPr>
          <w:bCs/>
          <w:iCs/>
        </w:rPr>
        <w:t>% от плановых назначений</w:t>
      </w:r>
      <w:r w:rsidRPr="00E56C9E">
        <w:t>.</w:t>
      </w:r>
    </w:p>
    <w:p w:rsidR="005E15EC" w:rsidRPr="0029403D" w:rsidRDefault="005E15EC" w:rsidP="000A5EE6">
      <w:pPr>
        <w:spacing w:before="40"/>
        <w:ind w:firstLine="567"/>
        <w:jc w:val="both"/>
      </w:pPr>
      <w:r w:rsidRPr="0029403D">
        <w:t>Подробный анализ поступления налоговых доходов представлен в таблице 1.</w:t>
      </w:r>
    </w:p>
    <w:p w:rsidR="005009AF" w:rsidRDefault="005009AF">
      <w:pPr>
        <w:rPr>
          <w:sz w:val="22"/>
          <w:szCs w:val="22"/>
        </w:rPr>
      </w:pPr>
      <w:r>
        <w:rPr>
          <w:sz w:val="22"/>
          <w:szCs w:val="22"/>
        </w:rPr>
        <w:br w:type="page"/>
      </w:r>
    </w:p>
    <w:p w:rsidR="005E15EC" w:rsidRPr="009D4A15" w:rsidRDefault="005E15EC" w:rsidP="00D85D04">
      <w:pPr>
        <w:spacing w:before="120" w:after="120"/>
        <w:jc w:val="center"/>
        <w:rPr>
          <w:sz w:val="22"/>
          <w:szCs w:val="22"/>
        </w:rPr>
      </w:pPr>
      <w:r w:rsidRPr="009D4A15">
        <w:rPr>
          <w:sz w:val="22"/>
          <w:szCs w:val="22"/>
        </w:rPr>
        <w:lastRenderedPageBreak/>
        <w:t xml:space="preserve">Таблица 1. Структура </w:t>
      </w:r>
      <w:r w:rsidR="000A68BE" w:rsidRPr="009D4A15">
        <w:rPr>
          <w:sz w:val="22"/>
          <w:szCs w:val="22"/>
        </w:rPr>
        <w:t xml:space="preserve">и динамика поступления </w:t>
      </w:r>
      <w:r w:rsidRPr="009D4A15">
        <w:rPr>
          <w:sz w:val="22"/>
          <w:szCs w:val="22"/>
        </w:rPr>
        <w:t>налоговых доходов местного бюджета, тыс. руб.</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737"/>
        <w:gridCol w:w="846"/>
        <w:gridCol w:w="855"/>
        <w:gridCol w:w="794"/>
        <w:gridCol w:w="794"/>
        <w:gridCol w:w="794"/>
        <w:gridCol w:w="1304"/>
        <w:gridCol w:w="1418"/>
      </w:tblGrid>
      <w:tr w:rsidR="00BB7E0B" w:rsidRPr="0029403D" w:rsidTr="00EC0840">
        <w:trPr>
          <w:trHeight w:val="528"/>
        </w:trPr>
        <w:tc>
          <w:tcPr>
            <w:tcW w:w="2098" w:type="dxa"/>
            <w:vMerge w:val="restart"/>
            <w:vAlign w:val="center"/>
          </w:tcPr>
          <w:p w:rsidR="0096321C" w:rsidRDefault="001D6AAD" w:rsidP="0096321C">
            <w:pPr>
              <w:jc w:val="center"/>
              <w:rPr>
                <w:i/>
                <w:sz w:val="20"/>
                <w:szCs w:val="20"/>
              </w:rPr>
            </w:pPr>
            <w:r w:rsidRPr="0029403D">
              <w:rPr>
                <w:i/>
                <w:sz w:val="20"/>
                <w:szCs w:val="20"/>
              </w:rPr>
              <w:t>Наименования</w:t>
            </w:r>
          </w:p>
          <w:p w:rsidR="00BB7E0B" w:rsidRPr="0029403D" w:rsidRDefault="001D6AAD" w:rsidP="0096321C">
            <w:pPr>
              <w:jc w:val="center"/>
              <w:rPr>
                <w:i/>
                <w:sz w:val="20"/>
                <w:szCs w:val="20"/>
              </w:rPr>
            </w:pPr>
            <w:r w:rsidRPr="0029403D">
              <w:rPr>
                <w:i/>
                <w:sz w:val="20"/>
                <w:szCs w:val="20"/>
              </w:rPr>
              <w:t>дохода</w:t>
            </w:r>
          </w:p>
        </w:tc>
        <w:tc>
          <w:tcPr>
            <w:tcW w:w="2438" w:type="dxa"/>
            <w:gridSpan w:val="3"/>
            <w:vAlign w:val="center"/>
          </w:tcPr>
          <w:p w:rsidR="00BB7E0B" w:rsidRPr="0029403D" w:rsidRDefault="00BB7E0B" w:rsidP="00BB7E0B">
            <w:pPr>
              <w:jc w:val="center"/>
              <w:rPr>
                <w:i/>
                <w:sz w:val="20"/>
                <w:szCs w:val="20"/>
              </w:rPr>
            </w:pPr>
            <w:r w:rsidRPr="0029403D">
              <w:rPr>
                <w:i/>
                <w:sz w:val="20"/>
                <w:szCs w:val="20"/>
              </w:rPr>
              <w:t>Исполнение бюджета</w:t>
            </w:r>
          </w:p>
        </w:tc>
        <w:tc>
          <w:tcPr>
            <w:tcW w:w="2382" w:type="dxa"/>
            <w:gridSpan w:val="3"/>
          </w:tcPr>
          <w:p w:rsidR="00BB7E0B" w:rsidRPr="0029403D" w:rsidRDefault="00BB7E0B" w:rsidP="001D6AAD">
            <w:pPr>
              <w:spacing w:before="40"/>
              <w:jc w:val="center"/>
              <w:rPr>
                <w:i/>
                <w:sz w:val="20"/>
                <w:szCs w:val="20"/>
              </w:rPr>
            </w:pPr>
            <w:r w:rsidRPr="0029403D">
              <w:rPr>
                <w:i/>
                <w:sz w:val="20"/>
                <w:szCs w:val="20"/>
              </w:rPr>
              <w:t>Доля в общем объёме налоговых доходов</w:t>
            </w:r>
          </w:p>
        </w:tc>
        <w:tc>
          <w:tcPr>
            <w:tcW w:w="2721" w:type="dxa"/>
            <w:gridSpan w:val="2"/>
            <w:vAlign w:val="center"/>
          </w:tcPr>
          <w:p w:rsidR="00BB7E0B" w:rsidRPr="0029403D" w:rsidRDefault="00BB7E0B" w:rsidP="0096321C">
            <w:pPr>
              <w:jc w:val="center"/>
              <w:rPr>
                <w:i/>
                <w:sz w:val="20"/>
                <w:szCs w:val="20"/>
              </w:rPr>
            </w:pPr>
            <w:r w:rsidRPr="0029403D">
              <w:rPr>
                <w:i/>
                <w:sz w:val="20"/>
                <w:szCs w:val="20"/>
              </w:rPr>
              <w:t>Абсолютный прирост (тыс. руб./</w:t>
            </w:r>
            <w:r w:rsidR="001D6AAD" w:rsidRPr="0029403D">
              <w:rPr>
                <w:i/>
                <w:sz w:val="20"/>
                <w:szCs w:val="20"/>
              </w:rPr>
              <w:t>проценты</w:t>
            </w:r>
            <w:r w:rsidRPr="0029403D">
              <w:rPr>
                <w:i/>
                <w:sz w:val="20"/>
                <w:szCs w:val="20"/>
              </w:rPr>
              <w:t>)</w:t>
            </w:r>
          </w:p>
        </w:tc>
      </w:tr>
      <w:tr w:rsidR="00BB7E0B" w:rsidRPr="0029403D" w:rsidTr="00EC0840">
        <w:trPr>
          <w:trHeight w:val="423"/>
        </w:trPr>
        <w:tc>
          <w:tcPr>
            <w:tcW w:w="2098" w:type="dxa"/>
            <w:vMerge/>
            <w:vAlign w:val="center"/>
          </w:tcPr>
          <w:p w:rsidR="00BB7E0B" w:rsidRPr="0029403D" w:rsidRDefault="00BB7E0B" w:rsidP="00877B5F">
            <w:pPr>
              <w:rPr>
                <w:i/>
                <w:sz w:val="20"/>
                <w:szCs w:val="20"/>
              </w:rPr>
            </w:pPr>
          </w:p>
        </w:tc>
        <w:tc>
          <w:tcPr>
            <w:tcW w:w="737" w:type="dxa"/>
            <w:vAlign w:val="center"/>
          </w:tcPr>
          <w:p w:rsidR="00BB7E0B" w:rsidRPr="0029403D" w:rsidRDefault="007F2993" w:rsidP="00877B5F">
            <w:pPr>
              <w:jc w:val="center"/>
              <w:rPr>
                <w:i/>
                <w:sz w:val="20"/>
                <w:szCs w:val="20"/>
              </w:rPr>
            </w:pPr>
            <w:r>
              <w:rPr>
                <w:i/>
                <w:sz w:val="20"/>
                <w:szCs w:val="20"/>
              </w:rPr>
              <w:t>2012</w:t>
            </w:r>
          </w:p>
        </w:tc>
        <w:tc>
          <w:tcPr>
            <w:tcW w:w="846" w:type="dxa"/>
            <w:vAlign w:val="center"/>
          </w:tcPr>
          <w:p w:rsidR="00BB7E0B" w:rsidRPr="0029403D" w:rsidRDefault="007F2993" w:rsidP="00877B5F">
            <w:pPr>
              <w:jc w:val="center"/>
              <w:rPr>
                <w:i/>
                <w:sz w:val="20"/>
                <w:szCs w:val="20"/>
              </w:rPr>
            </w:pPr>
            <w:r>
              <w:rPr>
                <w:i/>
                <w:sz w:val="20"/>
                <w:szCs w:val="20"/>
              </w:rPr>
              <w:t>2013</w:t>
            </w:r>
          </w:p>
        </w:tc>
        <w:tc>
          <w:tcPr>
            <w:tcW w:w="855" w:type="dxa"/>
            <w:vAlign w:val="center"/>
          </w:tcPr>
          <w:p w:rsidR="00BB7E0B" w:rsidRPr="0029403D" w:rsidRDefault="007F2993" w:rsidP="00877B5F">
            <w:pPr>
              <w:jc w:val="center"/>
              <w:rPr>
                <w:i/>
                <w:sz w:val="20"/>
                <w:szCs w:val="20"/>
              </w:rPr>
            </w:pPr>
            <w:r>
              <w:rPr>
                <w:i/>
                <w:sz w:val="20"/>
                <w:szCs w:val="20"/>
              </w:rPr>
              <w:t>2014</w:t>
            </w:r>
          </w:p>
        </w:tc>
        <w:tc>
          <w:tcPr>
            <w:tcW w:w="794" w:type="dxa"/>
            <w:vAlign w:val="center"/>
          </w:tcPr>
          <w:p w:rsidR="00BB7E0B" w:rsidRPr="0029403D" w:rsidRDefault="007F2993" w:rsidP="00877B5F">
            <w:pPr>
              <w:jc w:val="center"/>
              <w:rPr>
                <w:i/>
                <w:sz w:val="20"/>
                <w:szCs w:val="20"/>
              </w:rPr>
            </w:pPr>
            <w:r>
              <w:rPr>
                <w:i/>
                <w:sz w:val="20"/>
                <w:szCs w:val="20"/>
              </w:rPr>
              <w:t>2012</w:t>
            </w:r>
          </w:p>
        </w:tc>
        <w:tc>
          <w:tcPr>
            <w:tcW w:w="794" w:type="dxa"/>
            <w:vAlign w:val="center"/>
          </w:tcPr>
          <w:p w:rsidR="00BB7E0B" w:rsidRPr="0029403D" w:rsidRDefault="007F2993" w:rsidP="00877B5F">
            <w:pPr>
              <w:jc w:val="center"/>
              <w:rPr>
                <w:i/>
                <w:sz w:val="20"/>
                <w:szCs w:val="20"/>
              </w:rPr>
            </w:pPr>
            <w:r>
              <w:rPr>
                <w:i/>
                <w:sz w:val="20"/>
                <w:szCs w:val="20"/>
              </w:rPr>
              <w:t>2013</w:t>
            </w:r>
          </w:p>
        </w:tc>
        <w:tc>
          <w:tcPr>
            <w:tcW w:w="794" w:type="dxa"/>
            <w:vAlign w:val="center"/>
          </w:tcPr>
          <w:p w:rsidR="00BB7E0B" w:rsidRPr="0029403D" w:rsidRDefault="007F2993" w:rsidP="00877B5F">
            <w:pPr>
              <w:jc w:val="center"/>
              <w:rPr>
                <w:i/>
                <w:sz w:val="20"/>
                <w:szCs w:val="20"/>
              </w:rPr>
            </w:pPr>
            <w:r>
              <w:rPr>
                <w:i/>
                <w:sz w:val="20"/>
                <w:szCs w:val="20"/>
              </w:rPr>
              <w:t>2014</w:t>
            </w:r>
          </w:p>
        </w:tc>
        <w:tc>
          <w:tcPr>
            <w:tcW w:w="1304" w:type="dxa"/>
            <w:vAlign w:val="center"/>
          </w:tcPr>
          <w:p w:rsidR="00BB7E0B" w:rsidRPr="0029403D" w:rsidRDefault="007F2993" w:rsidP="00877B5F">
            <w:pPr>
              <w:jc w:val="center"/>
              <w:rPr>
                <w:i/>
                <w:sz w:val="20"/>
                <w:szCs w:val="20"/>
              </w:rPr>
            </w:pPr>
            <w:r>
              <w:rPr>
                <w:i/>
                <w:sz w:val="20"/>
                <w:szCs w:val="20"/>
              </w:rPr>
              <w:t>2013</w:t>
            </w:r>
            <w:r w:rsidR="0096321C">
              <w:rPr>
                <w:i/>
                <w:sz w:val="20"/>
                <w:szCs w:val="20"/>
              </w:rPr>
              <w:t xml:space="preserve"> к </w:t>
            </w:r>
            <w:r>
              <w:rPr>
                <w:i/>
                <w:sz w:val="20"/>
                <w:szCs w:val="20"/>
              </w:rPr>
              <w:t>2012</w:t>
            </w:r>
          </w:p>
        </w:tc>
        <w:tc>
          <w:tcPr>
            <w:tcW w:w="1418" w:type="dxa"/>
            <w:vAlign w:val="center"/>
          </w:tcPr>
          <w:p w:rsidR="00BB7E0B" w:rsidRPr="0029403D" w:rsidRDefault="007F2993" w:rsidP="00877B5F">
            <w:pPr>
              <w:jc w:val="center"/>
              <w:rPr>
                <w:i/>
                <w:sz w:val="20"/>
                <w:szCs w:val="20"/>
              </w:rPr>
            </w:pPr>
            <w:r>
              <w:rPr>
                <w:i/>
                <w:sz w:val="20"/>
                <w:szCs w:val="20"/>
              </w:rPr>
              <w:t>2014</w:t>
            </w:r>
            <w:r w:rsidR="0096321C">
              <w:rPr>
                <w:i/>
                <w:sz w:val="20"/>
                <w:szCs w:val="20"/>
              </w:rPr>
              <w:t xml:space="preserve"> к </w:t>
            </w:r>
            <w:r>
              <w:rPr>
                <w:i/>
                <w:sz w:val="20"/>
                <w:szCs w:val="20"/>
              </w:rPr>
              <w:t>2013</w:t>
            </w:r>
          </w:p>
        </w:tc>
      </w:tr>
      <w:tr w:rsidR="007F2993" w:rsidRPr="0029403D" w:rsidTr="00EC0840">
        <w:trPr>
          <w:trHeight w:val="340"/>
        </w:trPr>
        <w:tc>
          <w:tcPr>
            <w:tcW w:w="2098" w:type="dxa"/>
            <w:vAlign w:val="center"/>
          </w:tcPr>
          <w:p w:rsidR="007F2993" w:rsidRPr="00037D1B" w:rsidRDefault="007F2993" w:rsidP="00877B5F">
            <w:pPr>
              <w:rPr>
                <w:sz w:val="22"/>
                <w:szCs w:val="22"/>
              </w:rPr>
            </w:pPr>
            <w:r w:rsidRPr="00037D1B">
              <w:rPr>
                <w:sz w:val="22"/>
                <w:szCs w:val="22"/>
              </w:rPr>
              <w:t>НДФЛ</w:t>
            </w:r>
          </w:p>
        </w:tc>
        <w:tc>
          <w:tcPr>
            <w:tcW w:w="737" w:type="dxa"/>
            <w:vAlign w:val="center"/>
          </w:tcPr>
          <w:p w:rsidR="007F2993" w:rsidRPr="00037D1B" w:rsidRDefault="007F2993" w:rsidP="000A5EE6">
            <w:pPr>
              <w:jc w:val="center"/>
              <w:rPr>
                <w:sz w:val="22"/>
                <w:szCs w:val="22"/>
              </w:rPr>
            </w:pPr>
            <w:r>
              <w:rPr>
                <w:sz w:val="22"/>
                <w:szCs w:val="22"/>
              </w:rPr>
              <w:t>711,2</w:t>
            </w:r>
          </w:p>
        </w:tc>
        <w:tc>
          <w:tcPr>
            <w:tcW w:w="846" w:type="dxa"/>
            <w:vAlign w:val="center"/>
          </w:tcPr>
          <w:p w:rsidR="007F2993" w:rsidRPr="00037D1B" w:rsidRDefault="007F2993" w:rsidP="000A5EE6">
            <w:pPr>
              <w:jc w:val="center"/>
              <w:rPr>
                <w:sz w:val="22"/>
                <w:szCs w:val="22"/>
              </w:rPr>
            </w:pPr>
            <w:r>
              <w:rPr>
                <w:sz w:val="22"/>
                <w:szCs w:val="22"/>
              </w:rPr>
              <w:t>737,7</w:t>
            </w:r>
          </w:p>
        </w:tc>
        <w:tc>
          <w:tcPr>
            <w:tcW w:w="855" w:type="dxa"/>
            <w:vAlign w:val="center"/>
          </w:tcPr>
          <w:p w:rsidR="007F2993" w:rsidRPr="00037D1B" w:rsidRDefault="00EC0840" w:rsidP="00877B5F">
            <w:pPr>
              <w:jc w:val="center"/>
              <w:rPr>
                <w:sz w:val="22"/>
                <w:szCs w:val="22"/>
              </w:rPr>
            </w:pPr>
            <w:r>
              <w:rPr>
                <w:sz w:val="22"/>
                <w:szCs w:val="22"/>
              </w:rPr>
              <w:t>1057,0</w:t>
            </w:r>
          </w:p>
        </w:tc>
        <w:tc>
          <w:tcPr>
            <w:tcW w:w="794" w:type="dxa"/>
            <w:vAlign w:val="center"/>
          </w:tcPr>
          <w:p w:rsidR="007F2993" w:rsidRPr="00037D1B" w:rsidRDefault="007F2993" w:rsidP="000A5EE6">
            <w:pPr>
              <w:jc w:val="center"/>
              <w:rPr>
                <w:sz w:val="22"/>
                <w:szCs w:val="22"/>
              </w:rPr>
            </w:pPr>
            <w:r>
              <w:rPr>
                <w:sz w:val="22"/>
                <w:szCs w:val="22"/>
              </w:rPr>
              <w:t>82,6</w:t>
            </w:r>
            <w:r w:rsidRPr="00037D1B">
              <w:rPr>
                <w:sz w:val="22"/>
                <w:szCs w:val="22"/>
              </w:rPr>
              <w:t>%</w:t>
            </w:r>
          </w:p>
        </w:tc>
        <w:tc>
          <w:tcPr>
            <w:tcW w:w="794" w:type="dxa"/>
            <w:vAlign w:val="center"/>
          </w:tcPr>
          <w:p w:rsidR="007F2993" w:rsidRPr="00037D1B" w:rsidRDefault="007F2993" w:rsidP="000A5EE6">
            <w:pPr>
              <w:jc w:val="center"/>
              <w:rPr>
                <w:sz w:val="22"/>
                <w:szCs w:val="22"/>
              </w:rPr>
            </w:pPr>
            <w:r>
              <w:rPr>
                <w:sz w:val="22"/>
                <w:szCs w:val="22"/>
              </w:rPr>
              <w:t>61,2%</w:t>
            </w:r>
          </w:p>
        </w:tc>
        <w:tc>
          <w:tcPr>
            <w:tcW w:w="794" w:type="dxa"/>
            <w:vAlign w:val="center"/>
          </w:tcPr>
          <w:p w:rsidR="007F2993" w:rsidRPr="00037D1B" w:rsidRDefault="00EC0840" w:rsidP="005E6A79">
            <w:pPr>
              <w:jc w:val="center"/>
              <w:rPr>
                <w:sz w:val="22"/>
                <w:szCs w:val="22"/>
              </w:rPr>
            </w:pPr>
            <w:r>
              <w:rPr>
                <w:sz w:val="22"/>
                <w:szCs w:val="22"/>
              </w:rPr>
              <w:t>85,2%</w:t>
            </w:r>
          </w:p>
        </w:tc>
        <w:tc>
          <w:tcPr>
            <w:tcW w:w="1304" w:type="dxa"/>
            <w:vAlign w:val="center"/>
          </w:tcPr>
          <w:p w:rsidR="007F2993" w:rsidRPr="0096321C" w:rsidRDefault="007F2993" w:rsidP="000A5EE6">
            <w:pPr>
              <w:jc w:val="center"/>
              <w:rPr>
                <w:sz w:val="20"/>
                <w:szCs w:val="20"/>
              </w:rPr>
            </w:pPr>
            <w:r w:rsidRPr="0096321C">
              <w:rPr>
                <w:sz w:val="20"/>
                <w:szCs w:val="20"/>
              </w:rPr>
              <w:t>26,5 / 3,7%</w:t>
            </w:r>
          </w:p>
        </w:tc>
        <w:tc>
          <w:tcPr>
            <w:tcW w:w="1418" w:type="dxa"/>
            <w:vAlign w:val="center"/>
          </w:tcPr>
          <w:p w:rsidR="007F2993" w:rsidRPr="0096321C" w:rsidRDefault="00EC0840" w:rsidP="00D71160">
            <w:pPr>
              <w:jc w:val="center"/>
              <w:rPr>
                <w:sz w:val="20"/>
                <w:szCs w:val="20"/>
              </w:rPr>
            </w:pPr>
            <w:r>
              <w:rPr>
                <w:sz w:val="20"/>
                <w:szCs w:val="20"/>
              </w:rPr>
              <w:t>319,3 / 43,3%</w:t>
            </w:r>
          </w:p>
        </w:tc>
      </w:tr>
      <w:tr w:rsidR="007F2993" w:rsidRPr="0029403D" w:rsidTr="00EC0840">
        <w:trPr>
          <w:trHeight w:val="283"/>
        </w:trPr>
        <w:tc>
          <w:tcPr>
            <w:tcW w:w="2098" w:type="dxa"/>
          </w:tcPr>
          <w:p w:rsidR="007F2993" w:rsidRPr="00037D1B" w:rsidRDefault="007F2993" w:rsidP="0096321C">
            <w:pPr>
              <w:spacing w:before="120"/>
              <w:rPr>
                <w:sz w:val="22"/>
                <w:szCs w:val="22"/>
              </w:rPr>
            </w:pPr>
            <w:r w:rsidRPr="00037D1B">
              <w:rPr>
                <w:sz w:val="22"/>
                <w:szCs w:val="22"/>
              </w:rPr>
              <w:t>Единый с/х налог</w:t>
            </w:r>
          </w:p>
        </w:tc>
        <w:tc>
          <w:tcPr>
            <w:tcW w:w="737" w:type="dxa"/>
            <w:vAlign w:val="center"/>
          </w:tcPr>
          <w:p w:rsidR="007F2993" w:rsidRPr="00037D1B" w:rsidRDefault="007F2993" w:rsidP="000A5EE6">
            <w:pPr>
              <w:jc w:val="center"/>
              <w:rPr>
                <w:sz w:val="22"/>
                <w:szCs w:val="22"/>
              </w:rPr>
            </w:pPr>
            <w:r>
              <w:rPr>
                <w:sz w:val="22"/>
                <w:szCs w:val="22"/>
              </w:rPr>
              <w:t>1,8</w:t>
            </w:r>
          </w:p>
        </w:tc>
        <w:tc>
          <w:tcPr>
            <w:tcW w:w="846" w:type="dxa"/>
            <w:vAlign w:val="center"/>
          </w:tcPr>
          <w:p w:rsidR="007F2993" w:rsidRPr="00037D1B" w:rsidRDefault="007F2993" w:rsidP="000A5EE6">
            <w:pPr>
              <w:jc w:val="center"/>
              <w:rPr>
                <w:sz w:val="22"/>
                <w:szCs w:val="22"/>
              </w:rPr>
            </w:pPr>
            <w:r>
              <w:rPr>
                <w:sz w:val="22"/>
                <w:szCs w:val="22"/>
              </w:rPr>
              <w:t>250,3</w:t>
            </w:r>
          </w:p>
        </w:tc>
        <w:tc>
          <w:tcPr>
            <w:tcW w:w="855" w:type="dxa"/>
            <w:vAlign w:val="center"/>
          </w:tcPr>
          <w:p w:rsidR="007F2993" w:rsidRPr="00037D1B" w:rsidRDefault="00EC0840" w:rsidP="00877B5F">
            <w:pPr>
              <w:jc w:val="center"/>
              <w:rPr>
                <w:sz w:val="22"/>
                <w:szCs w:val="22"/>
              </w:rPr>
            </w:pPr>
            <w:r>
              <w:rPr>
                <w:sz w:val="22"/>
                <w:szCs w:val="22"/>
              </w:rPr>
              <w:t>4,0</w:t>
            </w:r>
          </w:p>
        </w:tc>
        <w:tc>
          <w:tcPr>
            <w:tcW w:w="794" w:type="dxa"/>
            <w:vAlign w:val="center"/>
          </w:tcPr>
          <w:p w:rsidR="007F2993" w:rsidRPr="00037D1B" w:rsidRDefault="007F2993" w:rsidP="000A5EE6">
            <w:pPr>
              <w:jc w:val="center"/>
              <w:rPr>
                <w:sz w:val="22"/>
                <w:szCs w:val="22"/>
              </w:rPr>
            </w:pPr>
            <w:r>
              <w:rPr>
                <w:sz w:val="22"/>
                <w:szCs w:val="22"/>
              </w:rPr>
              <w:t>0,2%</w:t>
            </w:r>
          </w:p>
        </w:tc>
        <w:tc>
          <w:tcPr>
            <w:tcW w:w="794" w:type="dxa"/>
            <w:vAlign w:val="center"/>
          </w:tcPr>
          <w:p w:rsidR="007F2993" w:rsidRPr="00037D1B" w:rsidRDefault="007F2993" w:rsidP="000A5EE6">
            <w:pPr>
              <w:jc w:val="center"/>
              <w:rPr>
                <w:sz w:val="22"/>
                <w:szCs w:val="22"/>
              </w:rPr>
            </w:pPr>
            <w:r>
              <w:rPr>
                <w:sz w:val="22"/>
                <w:szCs w:val="22"/>
              </w:rPr>
              <w:t>20,8%</w:t>
            </w:r>
          </w:p>
        </w:tc>
        <w:tc>
          <w:tcPr>
            <w:tcW w:w="794" w:type="dxa"/>
            <w:vAlign w:val="center"/>
          </w:tcPr>
          <w:p w:rsidR="007F2993" w:rsidRPr="00037D1B" w:rsidRDefault="00EC0840" w:rsidP="00877B5F">
            <w:pPr>
              <w:jc w:val="center"/>
              <w:rPr>
                <w:sz w:val="22"/>
                <w:szCs w:val="22"/>
              </w:rPr>
            </w:pPr>
            <w:r>
              <w:rPr>
                <w:sz w:val="22"/>
                <w:szCs w:val="22"/>
              </w:rPr>
              <w:t>0,3%</w:t>
            </w:r>
          </w:p>
        </w:tc>
        <w:tc>
          <w:tcPr>
            <w:tcW w:w="1304" w:type="dxa"/>
            <w:vAlign w:val="center"/>
          </w:tcPr>
          <w:p w:rsidR="007F2993" w:rsidRPr="0096321C" w:rsidRDefault="007F2993" w:rsidP="000A5EE6">
            <w:pPr>
              <w:jc w:val="center"/>
              <w:rPr>
                <w:sz w:val="20"/>
                <w:szCs w:val="20"/>
              </w:rPr>
            </w:pPr>
            <w:r w:rsidRPr="0096321C">
              <w:rPr>
                <w:sz w:val="20"/>
                <w:szCs w:val="20"/>
              </w:rPr>
              <w:t>248,5 / 139 раз</w:t>
            </w:r>
          </w:p>
        </w:tc>
        <w:tc>
          <w:tcPr>
            <w:tcW w:w="1418" w:type="dxa"/>
            <w:vAlign w:val="center"/>
          </w:tcPr>
          <w:p w:rsidR="00EC0840" w:rsidRDefault="00EC0840" w:rsidP="00052A03">
            <w:pPr>
              <w:jc w:val="center"/>
              <w:rPr>
                <w:sz w:val="20"/>
                <w:szCs w:val="20"/>
              </w:rPr>
            </w:pPr>
            <w:r>
              <w:rPr>
                <w:sz w:val="20"/>
                <w:szCs w:val="20"/>
              </w:rPr>
              <w:t>-246,3 /</w:t>
            </w:r>
          </w:p>
          <w:p w:rsidR="007F2993" w:rsidRPr="0096321C" w:rsidRDefault="00EC0840" w:rsidP="00052A03">
            <w:pPr>
              <w:jc w:val="center"/>
              <w:rPr>
                <w:sz w:val="20"/>
                <w:szCs w:val="20"/>
              </w:rPr>
            </w:pPr>
            <w:r>
              <w:rPr>
                <w:sz w:val="20"/>
                <w:szCs w:val="20"/>
              </w:rPr>
              <w:t xml:space="preserve"> -98,4%</w:t>
            </w:r>
          </w:p>
        </w:tc>
      </w:tr>
      <w:tr w:rsidR="007F2993" w:rsidRPr="0029403D" w:rsidTr="00EC0840">
        <w:tc>
          <w:tcPr>
            <w:tcW w:w="2098" w:type="dxa"/>
          </w:tcPr>
          <w:p w:rsidR="007F2993" w:rsidRPr="005009AF" w:rsidRDefault="007F2993" w:rsidP="00877B5F">
            <w:pPr>
              <w:rPr>
                <w:spacing w:val="-4"/>
                <w:sz w:val="22"/>
                <w:szCs w:val="22"/>
              </w:rPr>
            </w:pPr>
            <w:r w:rsidRPr="005009AF">
              <w:rPr>
                <w:spacing w:val="-4"/>
                <w:sz w:val="22"/>
                <w:szCs w:val="22"/>
              </w:rPr>
              <w:t>Налог на имущество физических лиц</w:t>
            </w:r>
          </w:p>
        </w:tc>
        <w:tc>
          <w:tcPr>
            <w:tcW w:w="737" w:type="dxa"/>
            <w:vAlign w:val="center"/>
          </w:tcPr>
          <w:p w:rsidR="007F2993" w:rsidRPr="00037D1B" w:rsidRDefault="007F2993" w:rsidP="000A5EE6">
            <w:pPr>
              <w:jc w:val="center"/>
              <w:rPr>
                <w:sz w:val="22"/>
                <w:szCs w:val="22"/>
              </w:rPr>
            </w:pPr>
            <w:r>
              <w:rPr>
                <w:sz w:val="22"/>
                <w:szCs w:val="22"/>
              </w:rPr>
              <w:t>30,9</w:t>
            </w:r>
          </w:p>
        </w:tc>
        <w:tc>
          <w:tcPr>
            <w:tcW w:w="846" w:type="dxa"/>
            <w:vAlign w:val="center"/>
          </w:tcPr>
          <w:p w:rsidR="007F2993" w:rsidRPr="00037D1B" w:rsidRDefault="007F2993" w:rsidP="000A5EE6">
            <w:pPr>
              <w:jc w:val="center"/>
              <w:rPr>
                <w:sz w:val="22"/>
                <w:szCs w:val="22"/>
              </w:rPr>
            </w:pPr>
            <w:r>
              <w:rPr>
                <w:sz w:val="22"/>
                <w:szCs w:val="22"/>
              </w:rPr>
              <w:t>31,2</w:t>
            </w:r>
          </w:p>
        </w:tc>
        <w:tc>
          <w:tcPr>
            <w:tcW w:w="855" w:type="dxa"/>
            <w:vAlign w:val="center"/>
          </w:tcPr>
          <w:p w:rsidR="007F2993" w:rsidRPr="00037D1B" w:rsidRDefault="00EC0840" w:rsidP="00877B5F">
            <w:pPr>
              <w:jc w:val="center"/>
              <w:rPr>
                <w:sz w:val="22"/>
                <w:szCs w:val="22"/>
              </w:rPr>
            </w:pPr>
            <w:r>
              <w:rPr>
                <w:sz w:val="22"/>
                <w:szCs w:val="22"/>
              </w:rPr>
              <w:t>32,3</w:t>
            </w:r>
          </w:p>
        </w:tc>
        <w:tc>
          <w:tcPr>
            <w:tcW w:w="794" w:type="dxa"/>
            <w:vAlign w:val="center"/>
          </w:tcPr>
          <w:p w:rsidR="007F2993" w:rsidRPr="00037D1B" w:rsidRDefault="007F2993" w:rsidP="000A5EE6">
            <w:pPr>
              <w:jc w:val="center"/>
              <w:rPr>
                <w:sz w:val="22"/>
                <w:szCs w:val="22"/>
              </w:rPr>
            </w:pPr>
            <w:r>
              <w:rPr>
                <w:sz w:val="22"/>
                <w:szCs w:val="22"/>
              </w:rPr>
              <w:t>3,6</w:t>
            </w:r>
            <w:r w:rsidRPr="00037D1B">
              <w:rPr>
                <w:sz w:val="22"/>
                <w:szCs w:val="22"/>
              </w:rPr>
              <w:t>%</w:t>
            </w:r>
          </w:p>
        </w:tc>
        <w:tc>
          <w:tcPr>
            <w:tcW w:w="794" w:type="dxa"/>
            <w:vAlign w:val="center"/>
          </w:tcPr>
          <w:p w:rsidR="007F2993" w:rsidRPr="00037D1B" w:rsidRDefault="007F2993" w:rsidP="000A5EE6">
            <w:pPr>
              <w:jc w:val="center"/>
              <w:rPr>
                <w:sz w:val="22"/>
                <w:szCs w:val="22"/>
              </w:rPr>
            </w:pPr>
            <w:r>
              <w:rPr>
                <w:sz w:val="22"/>
                <w:szCs w:val="22"/>
              </w:rPr>
              <w:t>2,6%</w:t>
            </w:r>
          </w:p>
        </w:tc>
        <w:tc>
          <w:tcPr>
            <w:tcW w:w="794" w:type="dxa"/>
            <w:vAlign w:val="center"/>
          </w:tcPr>
          <w:p w:rsidR="007F2993" w:rsidRPr="00037D1B" w:rsidRDefault="00EC0840" w:rsidP="00877B5F">
            <w:pPr>
              <w:jc w:val="center"/>
              <w:rPr>
                <w:sz w:val="22"/>
                <w:szCs w:val="22"/>
              </w:rPr>
            </w:pPr>
            <w:r>
              <w:rPr>
                <w:sz w:val="22"/>
                <w:szCs w:val="22"/>
              </w:rPr>
              <w:t>2,6%</w:t>
            </w:r>
          </w:p>
        </w:tc>
        <w:tc>
          <w:tcPr>
            <w:tcW w:w="1304" w:type="dxa"/>
            <w:vAlign w:val="center"/>
          </w:tcPr>
          <w:p w:rsidR="007F2993" w:rsidRPr="0096321C" w:rsidRDefault="007F2993" w:rsidP="000A5EE6">
            <w:pPr>
              <w:jc w:val="center"/>
              <w:rPr>
                <w:sz w:val="20"/>
                <w:szCs w:val="20"/>
              </w:rPr>
            </w:pPr>
            <w:r w:rsidRPr="0096321C">
              <w:rPr>
                <w:sz w:val="20"/>
                <w:szCs w:val="20"/>
              </w:rPr>
              <w:t>0,3 / 1,0%</w:t>
            </w:r>
          </w:p>
        </w:tc>
        <w:tc>
          <w:tcPr>
            <w:tcW w:w="1418" w:type="dxa"/>
            <w:vAlign w:val="center"/>
          </w:tcPr>
          <w:p w:rsidR="007F2993" w:rsidRPr="0096321C" w:rsidRDefault="00EC0840" w:rsidP="004A4FD0">
            <w:pPr>
              <w:jc w:val="center"/>
              <w:rPr>
                <w:sz w:val="20"/>
                <w:szCs w:val="20"/>
              </w:rPr>
            </w:pPr>
            <w:r>
              <w:rPr>
                <w:sz w:val="20"/>
                <w:szCs w:val="20"/>
              </w:rPr>
              <w:t>1,1 / 3,5%</w:t>
            </w:r>
          </w:p>
        </w:tc>
      </w:tr>
      <w:tr w:rsidR="007F2993" w:rsidRPr="0029403D" w:rsidTr="00EC0840">
        <w:trPr>
          <w:trHeight w:val="283"/>
        </w:trPr>
        <w:tc>
          <w:tcPr>
            <w:tcW w:w="2098" w:type="dxa"/>
          </w:tcPr>
          <w:p w:rsidR="007F2993" w:rsidRPr="00037D1B" w:rsidRDefault="007F2993" w:rsidP="00EC0840">
            <w:pPr>
              <w:spacing w:before="40" w:after="40"/>
              <w:jc w:val="both"/>
              <w:rPr>
                <w:sz w:val="22"/>
                <w:szCs w:val="22"/>
              </w:rPr>
            </w:pPr>
            <w:r w:rsidRPr="00037D1B">
              <w:rPr>
                <w:sz w:val="22"/>
                <w:szCs w:val="22"/>
              </w:rPr>
              <w:t>Земельный налог</w:t>
            </w:r>
          </w:p>
        </w:tc>
        <w:tc>
          <w:tcPr>
            <w:tcW w:w="737" w:type="dxa"/>
            <w:vAlign w:val="center"/>
          </w:tcPr>
          <w:p w:rsidR="007F2993" w:rsidRPr="00037D1B" w:rsidRDefault="007F2993" w:rsidP="00EC0840">
            <w:pPr>
              <w:spacing w:before="40" w:after="40"/>
              <w:jc w:val="center"/>
              <w:rPr>
                <w:sz w:val="22"/>
                <w:szCs w:val="22"/>
              </w:rPr>
            </w:pPr>
            <w:r>
              <w:rPr>
                <w:sz w:val="22"/>
                <w:szCs w:val="22"/>
              </w:rPr>
              <w:t>116,8</w:t>
            </w:r>
          </w:p>
        </w:tc>
        <w:tc>
          <w:tcPr>
            <w:tcW w:w="846" w:type="dxa"/>
            <w:vAlign w:val="center"/>
          </w:tcPr>
          <w:p w:rsidR="007F2993" w:rsidRPr="00037D1B" w:rsidRDefault="007F2993" w:rsidP="00EC0840">
            <w:pPr>
              <w:spacing w:before="40" w:after="40"/>
              <w:jc w:val="center"/>
              <w:rPr>
                <w:sz w:val="22"/>
                <w:szCs w:val="22"/>
              </w:rPr>
            </w:pPr>
            <w:r>
              <w:rPr>
                <w:sz w:val="22"/>
                <w:szCs w:val="22"/>
              </w:rPr>
              <w:t>184,5</w:t>
            </w:r>
          </w:p>
        </w:tc>
        <w:tc>
          <w:tcPr>
            <w:tcW w:w="855" w:type="dxa"/>
            <w:vAlign w:val="center"/>
          </w:tcPr>
          <w:p w:rsidR="007F2993" w:rsidRPr="00037D1B" w:rsidRDefault="00EC0840" w:rsidP="00EC0840">
            <w:pPr>
              <w:spacing w:before="40" w:after="40"/>
              <w:jc w:val="center"/>
              <w:rPr>
                <w:sz w:val="22"/>
                <w:szCs w:val="22"/>
              </w:rPr>
            </w:pPr>
            <w:r>
              <w:rPr>
                <w:sz w:val="22"/>
                <w:szCs w:val="22"/>
              </w:rPr>
              <w:t>145,0</w:t>
            </w:r>
          </w:p>
        </w:tc>
        <w:tc>
          <w:tcPr>
            <w:tcW w:w="794" w:type="dxa"/>
            <w:vAlign w:val="center"/>
          </w:tcPr>
          <w:p w:rsidR="007F2993" w:rsidRPr="00037D1B" w:rsidRDefault="007F2993" w:rsidP="00EC0840">
            <w:pPr>
              <w:spacing w:before="40" w:after="40"/>
              <w:jc w:val="center"/>
              <w:rPr>
                <w:sz w:val="22"/>
                <w:szCs w:val="22"/>
              </w:rPr>
            </w:pPr>
            <w:r>
              <w:rPr>
                <w:sz w:val="22"/>
                <w:szCs w:val="22"/>
              </w:rPr>
              <w:t>1</w:t>
            </w:r>
            <w:r w:rsidRPr="00037D1B">
              <w:rPr>
                <w:sz w:val="22"/>
                <w:szCs w:val="22"/>
              </w:rPr>
              <w:t>3</w:t>
            </w:r>
            <w:r>
              <w:rPr>
                <w:sz w:val="22"/>
                <w:szCs w:val="22"/>
              </w:rPr>
              <w:t>,</w:t>
            </w:r>
            <w:r w:rsidRPr="00037D1B">
              <w:rPr>
                <w:sz w:val="22"/>
                <w:szCs w:val="22"/>
              </w:rPr>
              <w:t>6%</w:t>
            </w:r>
          </w:p>
        </w:tc>
        <w:tc>
          <w:tcPr>
            <w:tcW w:w="794" w:type="dxa"/>
            <w:vAlign w:val="center"/>
          </w:tcPr>
          <w:p w:rsidR="007F2993" w:rsidRPr="00037D1B" w:rsidRDefault="007F2993" w:rsidP="00EC0840">
            <w:pPr>
              <w:spacing w:before="40" w:after="40"/>
              <w:jc w:val="center"/>
              <w:rPr>
                <w:sz w:val="22"/>
                <w:szCs w:val="22"/>
              </w:rPr>
            </w:pPr>
            <w:r>
              <w:rPr>
                <w:sz w:val="22"/>
                <w:szCs w:val="22"/>
              </w:rPr>
              <w:t>15,3%</w:t>
            </w:r>
          </w:p>
        </w:tc>
        <w:tc>
          <w:tcPr>
            <w:tcW w:w="794" w:type="dxa"/>
            <w:vAlign w:val="center"/>
          </w:tcPr>
          <w:p w:rsidR="007F2993" w:rsidRPr="00037D1B" w:rsidRDefault="00EC0840" w:rsidP="00EC0840">
            <w:pPr>
              <w:spacing w:before="40" w:after="40"/>
              <w:jc w:val="center"/>
              <w:rPr>
                <w:sz w:val="22"/>
                <w:szCs w:val="22"/>
              </w:rPr>
            </w:pPr>
            <w:r>
              <w:rPr>
                <w:sz w:val="22"/>
                <w:szCs w:val="22"/>
              </w:rPr>
              <w:t>11,7%</w:t>
            </w:r>
          </w:p>
        </w:tc>
        <w:tc>
          <w:tcPr>
            <w:tcW w:w="1304" w:type="dxa"/>
            <w:vAlign w:val="center"/>
          </w:tcPr>
          <w:p w:rsidR="007F2993" w:rsidRPr="0096321C" w:rsidRDefault="007F2993" w:rsidP="00EC0840">
            <w:pPr>
              <w:spacing w:before="40" w:after="40"/>
              <w:jc w:val="center"/>
              <w:rPr>
                <w:sz w:val="20"/>
                <w:szCs w:val="20"/>
              </w:rPr>
            </w:pPr>
            <w:r w:rsidRPr="0096321C">
              <w:rPr>
                <w:sz w:val="20"/>
                <w:szCs w:val="20"/>
              </w:rPr>
              <w:t>67,7 / 58,0%</w:t>
            </w:r>
          </w:p>
        </w:tc>
        <w:tc>
          <w:tcPr>
            <w:tcW w:w="1418" w:type="dxa"/>
            <w:vAlign w:val="center"/>
          </w:tcPr>
          <w:p w:rsidR="007F2993" w:rsidRPr="0096321C" w:rsidRDefault="00EC0840" w:rsidP="00EC0840">
            <w:pPr>
              <w:spacing w:before="40" w:after="40"/>
              <w:jc w:val="center"/>
              <w:rPr>
                <w:sz w:val="20"/>
                <w:szCs w:val="20"/>
              </w:rPr>
            </w:pPr>
            <w:r>
              <w:rPr>
                <w:sz w:val="20"/>
                <w:szCs w:val="20"/>
              </w:rPr>
              <w:t>-39,5 / -21,4%</w:t>
            </w:r>
          </w:p>
        </w:tc>
      </w:tr>
      <w:tr w:rsidR="00EC0840" w:rsidRPr="0029403D" w:rsidTr="00EC0840">
        <w:trPr>
          <w:trHeight w:val="283"/>
        </w:trPr>
        <w:tc>
          <w:tcPr>
            <w:tcW w:w="2098" w:type="dxa"/>
          </w:tcPr>
          <w:p w:rsidR="00EC0840" w:rsidRPr="00037D1B" w:rsidRDefault="00EC0840" w:rsidP="00EC0840">
            <w:pPr>
              <w:spacing w:before="40" w:after="40"/>
              <w:jc w:val="both"/>
              <w:rPr>
                <w:sz w:val="22"/>
                <w:szCs w:val="22"/>
              </w:rPr>
            </w:pPr>
            <w:r>
              <w:rPr>
                <w:sz w:val="22"/>
                <w:szCs w:val="22"/>
              </w:rPr>
              <w:t>Прочие</w:t>
            </w:r>
            <w:r w:rsidR="00822D8E">
              <w:rPr>
                <w:sz w:val="22"/>
                <w:szCs w:val="22"/>
              </w:rPr>
              <w:t xml:space="preserve"> налоги</w:t>
            </w:r>
          </w:p>
        </w:tc>
        <w:tc>
          <w:tcPr>
            <w:tcW w:w="737" w:type="dxa"/>
            <w:vAlign w:val="center"/>
          </w:tcPr>
          <w:p w:rsidR="00EC0840" w:rsidRPr="00037D1B" w:rsidRDefault="00EC0840" w:rsidP="00EC0840">
            <w:pPr>
              <w:spacing w:before="40" w:after="40"/>
              <w:jc w:val="center"/>
              <w:rPr>
                <w:sz w:val="22"/>
                <w:szCs w:val="22"/>
              </w:rPr>
            </w:pPr>
          </w:p>
        </w:tc>
        <w:tc>
          <w:tcPr>
            <w:tcW w:w="846" w:type="dxa"/>
            <w:vAlign w:val="center"/>
          </w:tcPr>
          <w:p w:rsidR="00EC0840" w:rsidRPr="00037D1B" w:rsidRDefault="00EC0840" w:rsidP="00EC0840">
            <w:pPr>
              <w:spacing w:before="40" w:after="40"/>
              <w:jc w:val="center"/>
              <w:rPr>
                <w:sz w:val="22"/>
                <w:szCs w:val="22"/>
              </w:rPr>
            </w:pPr>
            <w:r>
              <w:rPr>
                <w:sz w:val="22"/>
                <w:szCs w:val="22"/>
              </w:rPr>
              <w:t>1,3</w:t>
            </w:r>
          </w:p>
        </w:tc>
        <w:tc>
          <w:tcPr>
            <w:tcW w:w="855" w:type="dxa"/>
            <w:vAlign w:val="center"/>
          </w:tcPr>
          <w:p w:rsidR="00EC0840" w:rsidRPr="00037D1B" w:rsidRDefault="00EC0840" w:rsidP="00EC0840">
            <w:pPr>
              <w:spacing w:before="40" w:after="40"/>
              <w:jc w:val="center"/>
              <w:rPr>
                <w:sz w:val="22"/>
                <w:szCs w:val="22"/>
              </w:rPr>
            </w:pPr>
            <w:r>
              <w:rPr>
                <w:sz w:val="22"/>
                <w:szCs w:val="22"/>
              </w:rPr>
              <w:t>1,7</w:t>
            </w:r>
          </w:p>
        </w:tc>
        <w:tc>
          <w:tcPr>
            <w:tcW w:w="794" w:type="dxa"/>
            <w:vAlign w:val="center"/>
          </w:tcPr>
          <w:p w:rsidR="00EC0840" w:rsidRPr="00037D1B" w:rsidRDefault="00EC0840" w:rsidP="00EC0840">
            <w:pPr>
              <w:spacing w:before="40" w:after="40"/>
              <w:jc w:val="center"/>
              <w:rPr>
                <w:sz w:val="22"/>
                <w:szCs w:val="22"/>
              </w:rPr>
            </w:pPr>
          </w:p>
        </w:tc>
        <w:tc>
          <w:tcPr>
            <w:tcW w:w="794" w:type="dxa"/>
            <w:vAlign w:val="center"/>
          </w:tcPr>
          <w:p w:rsidR="00EC0840" w:rsidRPr="00037D1B" w:rsidRDefault="00EC0840" w:rsidP="00EC0840">
            <w:pPr>
              <w:spacing w:before="40" w:after="40"/>
              <w:jc w:val="center"/>
              <w:rPr>
                <w:sz w:val="22"/>
                <w:szCs w:val="22"/>
              </w:rPr>
            </w:pPr>
            <w:r>
              <w:rPr>
                <w:sz w:val="22"/>
                <w:szCs w:val="22"/>
              </w:rPr>
              <w:t>0,1%</w:t>
            </w:r>
          </w:p>
        </w:tc>
        <w:tc>
          <w:tcPr>
            <w:tcW w:w="794" w:type="dxa"/>
            <w:vAlign w:val="center"/>
          </w:tcPr>
          <w:p w:rsidR="00EC0840" w:rsidRPr="00037D1B" w:rsidRDefault="00EC0840" w:rsidP="00EC0840">
            <w:pPr>
              <w:spacing w:before="40" w:after="40"/>
              <w:jc w:val="center"/>
              <w:rPr>
                <w:sz w:val="22"/>
                <w:szCs w:val="22"/>
              </w:rPr>
            </w:pPr>
            <w:r>
              <w:rPr>
                <w:sz w:val="22"/>
                <w:szCs w:val="22"/>
              </w:rPr>
              <w:t>0,1%</w:t>
            </w:r>
          </w:p>
        </w:tc>
        <w:tc>
          <w:tcPr>
            <w:tcW w:w="1304" w:type="dxa"/>
            <w:vAlign w:val="center"/>
          </w:tcPr>
          <w:p w:rsidR="00EC0840" w:rsidRPr="0096321C" w:rsidRDefault="00EC0840" w:rsidP="00EC0840">
            <w:pPr>
              <w:spacing w:before="40" w:after="40"/>
              <w:jc w:val="center"/>
              <w:rPr>
                <w:sz w:val="20"/>
                <w:szCs w:val="20"/>
              </w:rPr>
            </w:pPr>
          </w:p>
        </w:tc>
        <w:tc>
          <w:tcPr>
            <w:tcW w:w="1418" w:type="dxa"/>
            <w:vAlign w:val="center"/>
          </w:tcPr>
          <w:p w:rsidR="00EC0840" w:rsidRPr="0096321C" w:rsidRDefault="00EC0840" w:rsidP="00EC0840">
            <w:pPr>
              <w:spacing w:before="40" w:after="40"/>
              <w:jc w:val="center"/>
              <w:rPr>
                <w:sz w:val="20"/>
                <w:szCs w:val="20"/>
              </w:rPr>
            </w:pPr>
            <w:r>
              <w:rPr>
                <w:sz w:val="20"/>
                <w:szCs w:val="20"/>
              </w:rPr>
              <w:t>0,4 / 30,8%</w:t>
            </w:r>
          </w:p>
        </w:tc>
      </w:tr>
      <w:tr w:rsidR="007F2993" w:rsidRPr="0029403D" w:rsidTr="00EC0840">
        <w:tc>
          <w:tcPr>
            <w:tcW w:w="2098" w:type="dxa"/>
          </w:tcPr>
          <w:p w:rsidR="007F2993" w:rsidRPr="00037D1B" w:rsidRDefault="007F2993" w:rsidP="00877B5F">
            <w:pPr>
              <w:rPr>
                <w:b/>
                <w:sz w:val="22"/>
                <w:szCs w:val="22"/>
              </w:rPr>
            </w:pPr>
            <w:r w:rsidRPr="00037D1B">
              <w:rPr>
                <w:b/>
                <w:sz w:val="22"/>
                <w:szCs w:val="22"/>
              </w:rPr>
              <w:t>Итого налоговых доходов</w:t>
            </w:r>
          </w:p>
        </w:tc>
        <w:tc>
          <w:tcPr>
            <w:tcW w:w="737" w:type="dxa"/>
            <w:vAlign w:val="center"/>
          </w:tcPr>
          <w:p w:rsidR="007F2993" w:rsidRPr="00037D1B" w:rsidRDefault="007F2993" w:rsidP="000A5EE6">
            <w:pPr>
              <w:jc w:val="center"/>
              <w:rPr>
                <w:b/>
                <w:sz w:val="22"/>
                <w:szCs w:val="22"/>
              </w:rPr>
            </w:pPr>
            <w:r>
              <w:rPr>
                <w:b/>
                <w:sz w:val="22"/>
                <w:szCs w:val="22"/>
              </w:rPr>
              <w:t>860,7</w:t>
            </w:r>
          </w:p>
        </w:tc>
        <w:tc>
          <w:tcPr>
            <w:tcW w:w="846" w:type="dxa"/>
            <w:vAlign w:val="center"/>
          </w:tcPr>
          <w:p w:rsidR="007F2993" w:rsidRPr="00037D1B" w:rsidRDefault="007F2993" w:rsidP="000A5EE6">
            <w:pPr>
              <w:jc w:val="center"/>
              <w:rPr>
                <w:b/>
                <w:sz w:val="22"/>
                <w:szCs w:val="22"/>
              </w:rPr>
            </w:pPr>
            <w:r>
              <w:rPr>
                <w:b/>
                <w:sz w:val="22"/>
                <w:szCs w:val="22"/>
              </w:rPr>
              <w:t>1205,0</w:t>
            </w:r>
          </w:p>
        </w:tc>
        <w:tc>
          <w:tcPr>
            <w:tcW w:w="855" w:type="dxa"/>
            <w:vAlign w:val="center"/>
          </w:tcPr>
          <w:p w:rsidR="007F2993" w:rsidRPr="00037D1B" w:rsidRDefault="00EC0840" w:rsidP="00877B5F">
            <w:pPr>
              <w:jc w:val="center"/>
              <w:rPr>
                <w:b/>
                <w:sz w:val="22"/>
                <w:szCs w:val="22"/>
              </w:rPr>
            </w:pPr>
            <w:r>
              <w:rPr>
                <w:b/>
                <w:sz w:val="22"/>
                <w:szCs w:val="22"/>
              </w:rPr>
              <w:t>1240,0</w:t>
            </w:r>
          </w:p>
        </w:tc>
        <w:tc>
          <w:tcPr>
            <w:tcW w:w="794" w:type="dxa"/>
            <w:vAlign w:val="center"/>
          </w:tcPr>
          <w:p w:rsidR="007F2993" w:rsidRPr="00037D1B" w:rsidRDefault="007F2993" w:rsidP="00877B5F">
            <w:pPr>
              <w:jc w:val="center"/>
              <w:rPr>
                <w:b/>
                <w:sz w:val="22"/>
                <w:szCs w:val="22"/>
              </w:rPr>
            </w:pPr>
            <w:r w:rsidRPr="00037D1B">
              <w:rPr>
                <w:b/>
                <w:sz w:val="22"/>
                <w:szCs w:val="22"/>
              </w:rPr>
              <w:t>100%</w:t>
            </w:r>
          </w:p>
        </w:tc>
        <w:tc>
          <w:tcPr>
            <w:tcW w:w="794" w:type="dxa"/>
            <w:vAlign w:val="center"/>
          </w:tcPr>
          <w:p w:rsidR="007F2993" w:rsidRPr="00037D1B" w:rsidRDefault="007F2993" w:rsidP="00877B5F">
            <w:pPr>
              <w:jc w:val="center"/>
              <w:rPr>
                <w:b/>
                <w:sz w:val="22"/>
                <w:szCs w:val="22"/>
              </w:rPr>
            </w:pPr>
            <w:r w:rsidRPr="00037D1B">
              <w:rPr>
                <w:b/>
                <w:sz w:val="22"/>
                <w:szCs w:val="22"/>
              </w:rPr>
              <w:t>100%</w:t>
            </w:r>
          </w:p>
        </w:tc>
        <w:tc>
          <w:tcPr>
            <w:tcW w:w="794" w:type="dxa"/>
            <w:vAlign w:val="center"/>
          </w:tcPr>
          <w:p w:rsidR="007F2993" w:rsidRPr="00037D1B" w:rsidRDefault="007F2993" w:rsidP="00877B5F">
            <w:pPr>
              <w:jc w:val="center"/>
              <w:rPr>
                <w:b/>
                <w:sz w:val="22"/>
                <w:szCs w:val="22"/>
              </w:rPr>
            </w:pPr>
            <w:r w:rsidRPr="00037D1B">
              <w:rPr>
                <w:b/>
                <w:sz w:val="22"/>
                <w:szCs w:val="22"/>
              </w:rPr>
              <w:t>100%</w:t>
            </w:r>
          </w:p>
        </w:tc>
        <w:tc>
          <w:tcPr>
            <w:tcW w:w="1304" w:type="dxa"/>
            <w:vAlign w:val="center"/>
          </w:tcPr>
          <w:p w:rsidR="007F2993" w:rsidRPr="00EC0840" w:rsidRDefault="007F2993" w:rsidP="00EC0840">
            <w:pPr>
              <w:jc w:val="center"/>
              <w:rPr>
                <w:b/>
                <w:spacing w:val="-4"/>
                <w:sz w:val="20"/>
                <w:szCs w:val="20"/>
              </w:rPr>
            </w:pPr>
            <w:r w:rsidRPr="00EC0840">
              <w:rPr>
                <w:b/>
                <w:spacing w:val="-4"/>
                <w:sz w:val="20"/>
                <w:szCs w:val="20"/>
              </w:rPr>
              <w:t>344,3 /40,0%</w:t>
            </w:r>
          </w:p>
        </w:tc>
        <w:tc>
          <w:tcPr>
            <w:tcW w:w="1418" w:type="dxa"/>
            <w:vAlign w:val="center"/>
          </w:tcPr>
          <w:p w:rsidR="007F2993" w:rsidRPr="0096321C" w:rsidRDefault="00EC0840" w:rsidP="00643E3E">
            <w:pPr>
              <w:jc w:val="center"/>
              <w:rPr>
                <w:b/>
                <w:sz w:val="20"/>
                <w:szCs w:val="20"/>
              </w:rPr>
            </w:pPr>
            <w:r>
              <w:rPr>
                <w:b/>
                <w:sz w:val="20"/>
                <w:szCs w:val="20"/>
              </w:rPr>
              <w:t>35,0 / 2,9%</w:t>
            </w:r>
          </w:p>
        </w:tc>
      </w:tr>
    </w:tbl>
    <w:p w:rsidR="0096321C" w:rsidRPr="00F12520" w:rsidRDefault="0096321C" w:rsidP="0096321C">
      <w:pPr>
        <w:spacing w:before="120"/>
        <w:ind w:firstLine="567"/>
        <w:jc w:val="both"/>
        <w:rPr>
          <w:bCs/>
          <w:iCs/>
        </w:rPr>
      </w:pPr>
      <w:r w:rsidRPr="00F12520">
        <w:rPr>
          <w:bCs/>
          <w:iCs/>
        </w:rPr>
        <w:t>В</w:t>
      </w:r>
      <w:r>
        <w:rPr>
          <w:bCs/>
          <w:iCs/>
        </w:rPr>
        <w:t xml:space="preserve"> пояснительной записке отсутствуют объяснения</w:t>
      </w:r>
      <w:r w:rsidR="00616D3B">
        <w:rPr>
          <w:bCs/>
          <w:iCs/>
        </w:rPr>
        <w:t xml:space="preserve"> </w:t>
      </w:r>
      <w:r>
        <w:rPr>
          <w:bCs/>
          <w:iCs/>
        </w:rPr>
        <w:t>росту поступлений</w:t>
      </w:r>
      <w:r w:rsidR="000A5EE6">
        <w:rPr>
          <w:bCs/>
          <w:iCs/>
        </w:rPr>
        <w:t xml:space="preserve"> НДФЛ, а также снижению</w:t>
      </w:r>
      <w:r w:rsidR="000A5EE6" w:rsidRPr="000A5EE6">
        <w:rPr>
          <w:bCs/>
          <w:iCs/>
        </w:rPr>
        <w:t xml:space="preserve"> </w:t>
      </w:r>
      <w:r w:rsidR="000A5EE6">
        <w:rPr>
          <w:bCs/>
          <w:iCs/>
        </w:rPr>
        <w:t>поступлений</w:t>
      </w:r>
      <w:r>
        <w:rPr>
          <w:bCs/>
          <w:iCs/>
        </w:rPr>
        <w:t xml:space="preserve"> </w:t>
      </w:r>
      <w:r w:rsidR="00B06BE2">
        <w:rPr>
          <w:bCs/>
          <w:iCs/>
        </w:rPr>
        <w:t>единого сельскохозяйственного и</w:t>
      </w:r>
      <w:r w:rsidR="000A5EE6">
        <w:rPr>
          <w:bCs/>
          <w:iCs/>
        </w:rPr>
        <w:t xml:space="preserve"> земельного налогов</w:t>
      </w:r>
      <w:r>
        <w:rPr>
          <w:bCs/>
          <w:iCs/>
        </w:rPr>
        <w:t xml:space="preserve"> по отношению к </w:t>
      </w:r>
      <w:r w:rsidR="007F2993">
        <w:rPr>
          <w:bCs/>
          <w:iCs/>
        </w:rPr>
        <w:t>2013</w:t>
      </w:r>
      <w:r>
        <w:rPr>
          <w:bCs/>
          <w:iCs/>
        </w:rPr>
        <w:t xml:space="preserve"> году.</w:t>
      </w:r>
    </w:p>
    <w:p w:rsidR="00551F5B" w:rsidRDefault="00551F5B" w:rsidP="00551F5B">
      <w:pPr>
        <w:spacing w:before="120"/>
        <w:ind w:firstLine="567"/>
        <w:jc w:val="both"/>
      </w:pPr>
      <w:r w:rsidRPr="0042298A">
        <w:rPr>
          <w:b/>
          <w:bCs/>
          <w:iCs/>
        </w:rPr>
        <w:t>Н</w:t>
      </w:r>
      <w:r w:rsidR="001A6010" w:rsidRPr="0042298A">
        <w:rPr>
          <w:b/>
          <w:bCs/>
          <w:iCs/>
        </w:rPr>
        <w:t>ен</w:t>
      </w:r>
      <w:r w:rsidRPr="0042298A">
        <w:rPr>
          <w:b/>
          <w:bCs/>
          <w:iCs/>
        </w:rPr>
        <w:t>алоговые доходы</w:t>
      </w:r>
      <w:r w:rsidRPr="0042298A">
        <w:rPr>
          <w:bCs/>
          <w:iCs/>
        </w:rPr>
        <w:t xml:space="preserve"> местного бюджета за </w:t>
      </w:r>
      <w:r w:rsidR="007F2993">
        <w:rPr>
          <w:bCs/>
          <w:iCs/>
        </w:rPr>
        <w:t>2014</w:t>
      </w:r>
      <w:r w:rsidRPr="0042298A">
        <w:rPr>
          <w:bCs/>
          <w:iCs/>
        </w:rPr>
        <w:t xml:space="preserve"> год исполнены в объеме </w:t>
      </w:r>
      <w:r w:rsidR="000A5EE6">
        <w:rPr>
          <w:bCs/>
          <w:iCs/>
        </w:rPr>
        <w:t>215,0</w:t>
      </w:r>
      <w:r w:rsidRPr="0042298A">
        <w:rPr>
          <w:bCs/>
          <w:iCs/>
        </w:rPr>
        <w:t xml:space="preserve"> тыс. руб. или </w:t>
      </w:r>
      <w:r w:rsidR="000A5EE6">
        <w:rPr>
          <w:bCs/>
          <w:iCs/>
        </w:rPr>
        <w:t>99,7</w:t>
      </w:r>
      <w:r w:rsidRPr="0042298A">
        <w:rPr>
          <w:bCs/>
          <w:iCs/>
        </w:rPr>
        <w:t>% от плановых назначений</w:t>
      </w:r>
      <w:r w:rsidRPr="0042298A">
        <w:t xml:space="preserve"> (</w:t>
      </w:r>
      <w:r w:rsidR="00D01A8F" w:rsidRPr="0042298A">
        <w:t>недоисполнение</w:t>
      </w:r>
      <w:r w:rsidRPr="0042298A">
        <w:t xml:space="preserve"> – </w:t>
      </w:r>
      <w:r w:rsidR="000A5EE6">
        <w:t>0,7</w:t>
      </w:r>
      <w:r w:rsidRPr="0042298A">
        <w:t xml:space="preserve"> тыс. </w:t>
      </w:r>
      <w:r w:rsidR="00CA485C" w:rsidRPr="0042298A">
        <w:t>руб.</w:t>
      </w:r>
      <w:r w:rsidRPr="0042298A">
        <w:t>).</w:t>
      </w:r>
    </w:p>
    <w:p w:rsidR="00B06BE2" w:rsidRDefault="00B06BE2" w:rsidP="00B06BE2">
      <w:pPr>
        <w:spacing w:before="40"/>
        <w:ind w:firstLine="567"/>
        <w:jc w:val="both"/>
      </w:pPr>
      <w:r w:rsidRPr="0029403D">
        <w:t xml:space="preserve">Подробный анализ поступления </w:t>
      </w:r>
      <w:r w:rsidR="00CA79EB">
        <w:t>не</w:t>
      </w:r>
      <w:r w:rsidRPr="0029403D">
        <w:t xml:space="preserve">налоговых доходов представлен в таблице </w:t>
      </w:r>
      <w:r>
        <w:t>2</w:t>
      </w:r>
      <w:r w:rsidRPr="0029403D">
        <w:t>.</w:t>
      </w:r>
    </w:p>
    <w:p w:rsidR="00B06BE2" w:rsidRPr="000D210C" w:rsidRDefault="00B06BE2" w:rsidP="00B06BE2">
      <w:pPr>
        <w:spacing w:before="120" w:after="120"/>
        <w:jc w:val="center"/>
        <w:rPr>
          <w:sz w:val="22"/>
          <w:szCs w:val="22"/>
        </w:rPr>
      </w:pPr>
      <w:r w:rsidRPr="000D210C">
        <w:rPr>
          <w:sz w:val="22"/>
          <w:szCs w:val="22"/>
        </w:rPr>
        <w:t xml:space="preserve">Таблица </w:t>
      </w:r>
      <w:r>
        <w:rPr>
          <w:sz w:val="22"/>
          <w:szCs w:val="22"/>
        </w:rPr>
        <w:t>2</w:t>
      </w:r>
      <w:r w:rsidRPr="000D210C">
        <w:rPr>
          <w:sz w:val="22"/>
          <w:szCs w:val="22"/>
        </w:rPr>
        <w:t xml:space="preserve">. Структура и динамика поступления </w:t>
      </w:r>
      <w:r>
        <w:rPr>
          <w:sz w:val="22"/>
          <w:szCs w:val="22"/>
        </w:rPr>
        <w:t>не</w:t>
      </w:r>
      <w:r w:rsidRPr="000D210C">
        <w:rPr>
          <w:sz w:val="22"/>
          <w:szCs w:val="22"/>
        </w:rPr>
        <w:t>налоговых доходов местного бюджета, тыс. руб.</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3"/>
        <w:gridCol w:w="737"/>
        <w:gridCol w:w="624"/>
        <w:gridCol w:w="737"/>
        <w:gridCol w:w="794"/>
        <w:gridCol w:w="794"/>
        <w:gridCol w:w="794"/>
        <w:gridCol w:w="1531"/>
        <w:gridCol w:w="1531"/>
      </w:tblGrid>
      <w:tr w:rsidR="00B06BE2" w:rsidRPr="0029403D" w:rsidTr="00EC0840">
        <w:trPr>
          <w:trHeight w:val="528"/>
        </w:trPr>
        <w:tc>
          <w:tcPr>
            <w:tcW w:w="2103" w:type="dxa"/>
            <w:vMerge w:val="restart"/>
            <w:vAlign w:val="center"/>
          </w:tcPr>
          <w:p w:rsidR="00B06BE2" w:rsidRPr="0029403D" w:rsidRDefault="00B06BE2" w:rsidP="00616D3B">
            <w:pPr>
              <w:rPr>
                <w:i/>
                <w:sz w:val="20"/>
                <w:szCs w:val="20"/>
              </w:rPr>
            </w:pPr>
            <w:r w:rsidRPr="0029403D">
              <w:rPr>
                <w:i/>
                <w:sz w:val="20"/>
                <w:szCs w:val="20"/>
              </w:rPr>
              <w:t>Наименования дохода</w:t>
            </w:r>
          </w:p>
        </w:tc>
        <w:tc>
          <w:tcPr>
            <w:tcW w:w="2098" w:type="dxa"/>
            <w:gridSpan w:val="3"/>
            <w:vAlign w:val="center"/>
          </w:tcPr>
          <w:p w:rsidR="00EC0840" w:rsidRDefault="00B06BE2" w:rsidP="00616D3B">
            <w:pPr>
              <w:jc w:val="center"/>
              <w:rPr>
                <w:i/>
                <w:sz w:val="20"/>
                <w:szCs w:val="20"/>
              </w:rPr>
            </w:pPr>
            <w:r w:rsidRPr="0029403D">
              <w:rPr>
                <w:i/>
                <w:sz w:val="20"/>
                <w:szCs w:val="20"/>
              </w:rPr>
              <w:t xml:space="preserve">Исполнение </w:t>
            </w:r>
          </w:p>
          <w:p w:rsidR="00B06BE2" w:rsidRPr="0029403D" w:rsidRDefault="00B06BE2" w:rsidP="00616D3B">
            <w:pPr>
              <w:jc w:val="center"/>
              <w:rPr>
                <w:i/>
                <w:sz w:val="20"/>
                <w:szCs w:val="20"/>
              </w:rPr>
            </w:pPr>
            <w:r w:rsidRPr="0029403D">
              <w:rPr>
                <w:i/>
                <w:sz w:val="20"/>
                <w:szCs w:val="20"/>
              </w:rPr>
              <w:t>бюджета</w:t>
            </w:r>
          </w:p>
        </w:tc>
        <w:tc>
          <w:tcPr>
            <w:tcW w:w="2382" w:type="dxa"/>
            <w:gridSpan w:val="3"/>
          </w:tcPr>
          <w:p w:rsidR="00B06BE2" w:rsidRPr="0029403D" w:rsidRDefault="00B06BE2" w:rsidP="00616D3B">
            <w:pPr>
              <w:spacing w:before="40"/>
              <w:jc w:val="center"/>
              <w:rPr>
                <w:i/>
                <w:sz w:val="20"/>
                <w:szCs w:val="20"/>
              </w:rPr>
            </w:pPr>
            <w:r w:rsidRPr="0029403D">
              <w:rPr>
                <w:i/>
                <w:sz w:val="20"/>
                <w:szCs w:val="20"/>
              </w:rPr>
              <w:t xml:space="preserve">Доля в общем объёме </w:t>
            </w:r>
            <w:r>
              <w:rPr>
                <w:i/>
                <w:sz w:val="20"/>
                <w:szCs w:val="20"/>
              </w:rPr>
              <w:t>не</w:t>
            </w:r>
            <w:r w:rsidRPr="0029403D">
              <w:rPr>
                <w:i/>
                <w:sz w:val="20"/>
                <w:szCs w:val="20"/>
              </w:rPr>
              <w:t>налоговых доходов</w:t>
            </w:r>
          </w:p>
        </w:tc>
        <w:tc>
          <w:tcPr>
            <w:tcW w:w="3062" w:type="dxa"/>
            <w:gridSpan w:val="2"/>
            <w:vAlign w:val="center"/>
          </w:tcPr>
          <w:p w:rsidR="00B06BE2" w:rsidRPr="0029403D" w:rsidRDefault="00B06BE2" w:rsidP="00616D3B">
            <w:pPr>
              <w:jc w:val="center"/>
              <w:rPr>
                <w:i/>
                <w:sz w:val="20"/>
                <w:szCs w:val="20"/>
              </w:rPr>
            </w:pPr>
            <w:r w:rsidRPr="0029403D">
              <w:rPr>
                <w:i/>
                <w:sz w:val="20"/>
                <w:szCs w:val="20"/>
              </w:rPr>
              <w:t>Абсолютный прирост (тыс. руб./проценты)</w:t>
            </w:r>
          </w:p>
        </w:tc>
      </w:tr>
      <w:tr w:rsidR="00B06BE2" w:rsidRPr="0029403D" w:rsidTr="00EC0840">
        <w:trPr>
          <w:trHeight w:val="301"/>
        </w:trPr>
        <w:tc>
          <w:tcPr>
            <w:tcW w:w="2103" w:type="dxa"/>
            <w:vMerge/>
            <w:vAlign w:val="center"/>
          </w:tcPr>
          <w:p w:rsidR="00B06BE2" w:rsidRPr="0029403D" w:rsidRDefault="00B06BE2" w:rsidP="00616D3B">
            <w:pPr>
              <w:rPr>
                <w:i/>
                <w:sz w:val="20"/>
                <w:szCs w:val="20"/>
              </w:rPr>
            </w:pPr>
          </w:p>
        </w:tc>
        <w:tc>
          <w:tcPr>
            <w:tcW w:w="737" w:type="dxa"/>
            <w:vAlign w:val="center"/>
          </w:tcPr>
          <w:p w:rsidR="00B06BE2" w:rsidRPr="0029403D" w:rsidRDefault="007F2993" w:rsidP="00616D3B">
            <w:pPr>
              <w:jc w:val="center"/>
              <w:rPr>
                <w:i/>
                <w:sz w:val="20"/>
                <w:szCs w:val="20"/>
              </w:rPr>
            </w:pPr>
            <w:r>
              <w:rPr>
                <w:i/>
                <w:sz w:val="20"/>
                <w:szCs w:val="20"/>
              </w:rPr>
              <w:t>2012</w:t>
            </w:r>
          </w:p>
        </w:tc>
        <w:tc>
          <w:tcPr>
            <w:tcW w:w="624" w:type="dxa"/>
            <w:vAlign w:val="center"/>
          </w:tcPr>
          <w:p w:rsidR="00B06BE2" w:rsidRPr="0029403D" w:rsidRDefault="007F2993" w:rsidP="00616D3B">
            <w:pPr>
              <w:jc w:val="center"/>
              <w:rPr>
                <w:i/>
                <w:sz w:val="20"/>
                <w:szCs w:val="20"/>
              </w:rPr>
            </w:pPr>
            <w:r>
              <w:rPr>
                <w:i/>
                <w:sz w:val="20"/>
                <w:szCs w:val="20"/>
              </w:rPr>
              <w:t>2013</w:t>
            </w:r>
          </w:p>
        </w:tc>
        <w:tc>
          <w:tcPr>
            <w:tcW w:w="737" w:type="dxa"/>
            <w:vAlign w:val="center"/>
          </w:tcPr>
          <w:p w:rsidR="00B06BE2" w:rsidRPr="0029403D" w:rsidRDefault="007F2993" w:rsidP="00616D3B">
            <w:pPr>
              <w:jc w:val="center"/>
              <w:rPr>
                <w:i/>
                <w:sz w:val="20"/>
                <w:szCs w:val="20"/>
              </w:rPr>
            </w:pPr>
            <w:r>
              <w:rPr>
                <w:i/>
                <w:sz w:val="20"/>
                <w:szCs w:val="20"/>
              </w:rPr>
              <w:t>2014</w:t>
            </w:r>
          </w:p>
        </w:tc>
        <w:tc>
          <w:tcPr>
            <w:tcW w:w="794" w:type="dxa"/>
            <w:vAlign w:val="center"/>
          </w:tcPr>
          <w:p w:rsidR="00B06BE2" w:rsidRPr="0029403D" w:rsidRDefault="007F2993" w:rsidP="00616D3B">
            <w:pPr>
              <w:jc w:val="center"/>
              <w:rPr>
                <w:i/>
                <w:sz w:val="20"/>
                <w:szCs w:val="20"/>
              </w:rPr>
            </w:pPr>
            <w:r>
              <w:rPr>
                <w:i/>
                <w:sz w:val="20"/>
                <w:szCs w:val="20"/>
              </w:rPr>
              <w:t>2012</w:t>
            </w:r>
          </w:p>
        </w:tc>
        <w:tc>
          <w:tcPr>
            <w:tcW w:w="794" w:type="dxa"/>
            <w:vAlign w:val="center"/>
          </w:tcPr>
          <w:p w:rsidR="00B06BE2" w:rsidRPr="0029403D" w:rsidRDefault="007F2993" w:rsidP="00616D3B">
            <w:pPr>
              <w:jc w:val="center"/>
              <w:rPr>
                <w:i/>
                <w:sz w:val="20"/>
                <w:szCs w:val="20"/>
              </w:rPr>
            </w:pPr>
            <w:r>
              <w:rPr>
                <w:i/>
                <w:sz w:val="20"/>
                <w:szCs w:val="20"/>
              </w:rPr>
              <w:t>2013</w:t>
            </w:r>
          </w:p>
        </w:tc>
        <w:tc>
          <w:tcPr>
            <w:tcW w:w="794" w:type="dxa"/>
            <w:vAlign w:val="center"/>
          </w:tcPr>
          <w:p w:rsidR="00B06BE2" w:rsidRPr="0029403D" w:rsidRDefault="007F2993" w:rsidP="00616D3B">
            <w:pPr>
              <w:jc w:val="center"/>
              <w:rPr>
                <w:i/>
                <w:sz w:val="20"/>
                <w:szCs w:val="20"/>
              </w:rPr>
            </w:pPr>
            <w:r>
              <w:rPr>
                <w:i/>
                <w:sz w:val="20"/>
                <w:szCs w:val="20"/>
              </w:rPr>
              <w:t>2014</w:t>
            </w:r>
          </w:p>
        </w:tc>
        <w:tc>
          <w:tcPr>
            <w:tcW w:w="1531" w:type="dxa"/>
            <w:vAlign w:val="center"/>
          </w:tcPr>
          <w:p w:rsidR="00B06BE2" w:rsidRPr="0029403D" w:rsidRDefault="007F2993" w:rsidP="00616D3B">
            <w:pPr>
              <w:jc w:val="center"/>
              <w:rPr>
                <w:i/>
                <w:sz w:val="20"/>
                <w:szCs w:val="20"/>
              </w:rPr>
            </w:pPr>
            <w:r>
              <w:rPr>
                <w:i/>
                <w:sz w:val="20"/>
                <w:szCs w:val="20"/>
              </w:rPr>
              <w:t>2013</w:t>
            </w:r>
            <w:r w:rsidR="00B06BE2">
              <w:rPr>
                <w:i/>
                <w:sz w:val="20"/>
                <w:szCs w:val="20"/>
              </w:rPr>
              <w:t xml:space="preserve"> к </w:t>
            </w:r>
            <w:r>
              <w:rPr>
                <w:i/>
                <w:sz w:val="20"/>
                <w:szCs w:val="20"/>
              </w:rPr>
              <w:t>2012</w:t>
            </w:r>
          </w:p>
        </w:tc>
        <w:tc>
          <w:tcPr>
            <w:tcW w:w="1531" w:type="dxa"/>
            <w:vAlign w:val="center"/>
          </w:tcPr>
          <w:p w:rsidR="00B06BE2" w:rsidRPr="0029403D" w:rsidRDefault="007F2993" w:rsidP="00616D3B">
            <w:pPr>
              <w:jc w:val="center"/>
              <w:rPr>
                <w:i/>
                <w:sz w:val="20"/>
                <w:szCs w:val="20"/>
              </w:rPr>
            </w:pPr>
            <w:r>
              <w:rPr>
                <w:i/>
                <w:sz w:val="20"/>
                <w:szCs w:val="20"/>
              </w:rPr>
              <w:t>2014</w:t>
            </w:r>
            <w:r w:rsidR="00B06BE2">
              <w:rPr>
                <w:i/>
                <w:sz w:val="20"/>
                <w:szCs w:val="20"/>
              </w:rPr>
              <w:t xml:space="preserve"> к </w:t>
            </w:r>
            <w:r>
              <w:rPr>
                <w:i/>
                <w:sz w:val="20"/>
                <w:szCs w:val="20"/>
              </w:rPr>
              <w:t>2013</w:t>
            </w:r>
          </w:p>
        </w:tc>
      </w:tr>
      <w:tr w:rsidR="007F2993" w:rsidRPr="00D452D7" w:rsidTr="00EC0840">
        <w:trPr>
          <w:trHeight w:val="340"/>
        </w:trPr>
        <w:tc>
          <w:tcPr>
            <w:tcW w:w="2103" w:type="dxa"/>
            <w:vAlign w:val="center"/>
          </w:tcPr>
          <w:p w:rsidR="007F2993" w:rsidRPr="00D452D7" w:rsidRDefault="007F2993" w:rsidP="00616D3B">
            <w:pPr>
              <w:rPr>
                <w:sz w:val="22"/>
                <w:szCs w:val="22"/>
              </w:rPr>
            </w:pPr>
            <w:r>
              <w:rPr>
                <w:sz w:val="22"/>
                <w:szCs w:val="22"/>
              </w:rPr>
              <w:t>Аренда земли</w:t>
            </w:r>
          </w:p>
        </w:tc>
        <w:tc>
          <w:tcPr>
            <w:tcW w:w="737" w:type="dxa"/>
            <w:vAlign w:val="center"/>
          </w:tcPr>
          <w:p w:rsidR="007F2993" w:rsidRPr="00F12520" w:rsidRDefault="007F2993" w:rsidP="000A5EE6">
            <w:pPr>
              <w:jc w:val="center"/>
              <w:rPr>
                <w:sz w:val="22"/>
                <w:szCs w:val="22"/>
              </w:rPr>
            </w:pPr>
            <w:r>
              <w:rPr>
                <w:sz w:val="22"/>
                <w:szCs w:val="22"/>
              </w:rPr>
              <w:t>65,7</w:t>
            </w:r>
          </w:p>
        </w:tc>
        <w:tc>
          <w:tcPr>
            <w:tcW w:w="624" w:type="dxa"/>
            <w:vAlign w:val="center"/>
          </w:tcPr>
          <w:p w:rsidR="007F2993" w:rsidRPr="00F12520" w:rsidRDefault="007F2993" w:rsidP="000A5EE6">
            <w:pPr>
              <w:jc w:val="center"/>
              <w:rPr>
                <w:sz w:val="22"/>
                <w:szCs w:val="22"/>
              </w:rPr>
            </w:pPr>
            <w:r>
              <w:rPr>
                <w:sz w:val="22"/>
                <w:szCs w:val="22"/>
              </w:rPr>
              <w:t>42,2</w:t>
            </w:r>
          </w:p>
        </w:tc>
        <w:tc>
          <w:tcPr>
            <w:tcW w:w="737" w:type="dxa"/>
            <w:vAlign w:val="center"/>
          </w:tcPr>
          <w:p w:rsidR="007F2993" w:rsidRPr="00F12520" w:rsidRDefault="00EC0840" w:rsidP="00616D3B">
            <w:pPr>
              <w:jc w:val="center"/>
              <w:rPr>
                <w:sz w:val="22"/>
                <w:szCs w:val="22"/>
              </w:rPr>
            </w:pPr>
            <w:r>
              <w:rPr>
                <w:sz w:val="22"/>
                <w:szCs w:val="22"/>
              </w:rPr>
              <w:t>64,3</w:t>
            </w:r>
          </w:p>
        </w:tc>
        <w:tc>
          <w:tcPr>
            <w:tcW w:w="794" w:type="dxa"/>
            <w:vAlign w:val="center"/>
          </w:tcPr>
          <w:p w:rsidR="007F2993" w:rsidRPr="00F12520" w:rsidRDefault="007F2993" w:rsidP="000A5EE6">
            <w:pPr>
              <w:jc w:val="center"/>
              <w:rPr>
                <w:sz w:val="22"/>
                <w:szCs w:val="22"/>
              </w:rPr>
            </w:pPr>
            <w:r>
              <w:rPr>
                <w:sz w:val="22"/>
                <w:szCs w:val="22"/>
              </w:rPr>
              <w:t>48,0%</w:t>
            </w:r>
          </w:p>
        </w:tc>
        <w:tc>
          <w:tcPr>
            <w:tcW w:w="794" w:type="dxa"/>
            <w:vAlign w:val="center"/>
          </w:tcPr>
          <w:p w:rsidR="007F2993" w:rsidRPr="00F12520" w:rsidRDefault="007F2993" w:rsidP="000A5EE6">
            <w:pPr>
              <w:jc w:val="center"/>
              <w:rPr>
                <w:sz w:val="22"/>
                <w:szCs w:val="22"/>
              </w:rPr>
            </w:pPr>
            <w:r>
              <w:rPr>
                <w:sz w:val="22"/>
                <w:szCs w:val="22"/>
              </w:rPr>
              <w:t>68,0%</w:t>
            </w:r>
          </w:p>
        </w:tc>
        <w:tc>
          <w:tcPr>
            <w:tcW w:w="794" w:type="dxa"/>
            <w:vAlign w:val="center"/>
          </w:tcPr>
          <w:p w:rsidR="007F2993" w:rsidRPr="00F12520" w:rsidRDefault="00EC0840" w:rsidP="00616D3B">
            <w:pPr>
              <w:jc w:val="center"/>
              <w:rPr>
                <w:sz w:val="22"/>
                <w:szCs w:val="22"/>
              </w:rPr>
            </w:pPr>
            <w:r>
              <w:rPr>
                <w:sz w:val="22"/>
                <w:szCs w:val="22"/>
              </w:rPr>
              <w:t>29,9%</w:t>
            </w:r>
          </w:p>
        </w:tc>
        <w:tc>
          <w:tcPr>
            <w:tcW w:w="1531" w:type="dxa"/>
            <w:vAlign w:val="center"/>
          </w:tcPr>
          <w:p w:rsidR="007F2993" w:rsidRPr="00F12520" w:rsidRDefault="007F2993" w:rsidP="000A5EE6">
            <w:pPr>
              <w:jc w:val="center"/>
              <w:rPr>
                <w:sz w:val="22"/>
                <w:szCs w:val="22"/>
              </w:rPr>
            </w:pPr>
            <w:r>
              <w:rPr>
                <w:sz w:val="22"/>
                <w:szCs w:val="22"/>
              </w:rPr>
              <w:t>-23,5 / -35,8%</w:t>
            </w:r>
          </w:p>
        </w:tc>
        <w:tc>
          <w:tcPr>
            <w:tcW w:w="1531" w:type="dxa"/>
            <w:vAlign w:val="center"/>
          </w:tcPr>
          <w:p w:rsidR="007F2993" w:rsidRPr="00F12520" w:rsidRDefault="00EC0840" w:rsidP="00616D3B">
            <w:pPr>
              <w:jc w:val="center"/>
              <w:rPr>
                <w:sz w:val="22"/>
                <w:szCs w:val="22"/>
              </w:rPr>
            </w:pPr>
            <w:r>
              <w:rPr>
                <w:sz w:val="22"/>
                <w:szCs w:val="22"/>
              </w:rPr>
              <w:t>22,1 / 52,4%</w:t>
            </w:r>
          </w:p>
        </w:tc>
      </w:tr>
      <w:tr w:rsidR="007F2993" w:rsidRPr="00D452D7" w:rsidTr="00EC0840">
        <w:trPr>
          <w:trHeight w:val="340"/>
        </w:trPr>
        <w:tc>
          <w:tcPr>
            <w:tcW w:w="2103" w:type="dxa"/>
            <w:vAlign w:val="center"/>
          </w:tcPr>
          <w:p w:rsidR="007F2993" w:rsidRPr="00D452D7" w:rsidRDefault="007F2993" w:rsidP="007F2993">
            <w:pPr>
              <w:rPr>
                <w:sz w:val="22"/>
                <w:szCs w:val="22"/>
              </w:rPr>
            </w:pPr>
            <w:r>
              <w:rPr>
                <w:sz w:val="22"/>
                <w:szCs w:val="22"/>
              </w:rPr>
              <w:t>Аренда имущества</w:t>
            </w:r>
          </w:p>
        </w:tc>
        <w:tc>
          <w:tcPr>
            <w:tcW w:w="737" w:type="dxa"/>
            <w:vAlign w:val="center"/>
          </w:tcPr>
          <w:p w:rsidR="007F2993" w:rsidRPr="00F12520" w:rsidRDefault="007F2993" w:rsidP="000A5EE6">
            <w:pPr>
              <w:jc w:val="center"/>
              <w:rPr>
                <w:sz w:val="22"/>
                <w:szCs w:val="22"/>
              </w:rPr>
            </w:pPr>
          </w:p>
        </w:tc>
        <w:tc>
          <w:tcPr>
            <w:tcW w:w="624" w:type="dxa"/>
            <w:vAlign w:val="center"/>
          </w:tcPr>
          <w:p w:rsidR="007F2993" w:rsidRPr="00F12520" w:rsidRDefault="007F2993" w:rsidP="000A5EE6">
            <w:pPr>
              <w:jc w:val="center"/>
              <w:rPr>
                <w:sz w:val="22"/>
                <w:szCs w:val="22"/>
              </w:rPr>
            </w:pPr>
          </w:p>
        </w:tc>
        <w:tc>
          <w:tcPr>
            <w:tcW w:w="737" w:type="dxa"/>
            <w:vAlign w:val="center"/>
          </w:tcPr>
          <w:p w:rsidR="007F2993" w:rsidRPr="00F12520" w:rsidRDefault="00EC0840" w:rsidP="000A5EE6">
            <w:pPr>
              <w:jc w:val="center"/>
              <w:rPr>
                <w:sz w:val="22"/>
                <w:szCs w:val="22"/>
              </w:rPr>
            </w:pPr>
            <w:r>
              <w:rPr>
                <w:sz w:val="22"/>
                <w:szCs w:val="22"/>
              </w:rPr>
              <w:t>72,3</w:t>
            </w:r>
          </w:p>
        </w:tc>
        <w:tc>
          <w:tcPr>
            <w:tcW w:w="794" w:type="dxa"/>
            <w:vAlign w:val="center"/>
          </w:tcPr>
          <w:p w:rsidR="007F2993" w:rsidRPr="00F12520" w:rsidRDefault="007F2993" w:rsidP="000A5EE6">
            <w:pPr>
              <w:jc w:val="center"/>
              <w:rPr>
                <w:sz w:val="22"/>
                <w:szCs w:val="22"/>
              </w:rPr>
            </w:pPr>
          </w:p>
        </w:tc>
        <w:tc>
          <w:tcPr>
            <w:tcW w:w="794" w:type="dxa"/>
            <w:vAlign w:val="center"/>
          </w:tcPr>
          <w:p w:rsidR="007F2993" w:rsidRPr="00F12520" w:rsidRDefault="007F2993" w:rsidP="000A5EE6">
            <w:pPr>
              <w:jc w:val="center"/>
              <w:rPr>
                <w:sz w:val="22"/>
                <w:szCs w:val="22"/>
              </w:rPr>
            </w:pPr>
          </w:p>
        </w:tc>
        <w:tc>
          <w:tcPr>
            <w:tcW w:w="794" w:type="dxa"/>
            <w:vAlign w:val="center"/>
          </w:tcPr>
          <w:p w:rsidR="007F2993" w:rsidRPr="00F12520" w:rsidRDefault="00EC0840" w:rsidP="000A5EE6">
            <w:pPr>
              <w:jc w:val="center"/>
              <w:rPr>
                <w:sz w:val="22"/>
                <w:szCs w:val="22"/>
              </w:rPr>
            </w:pPr>
            <w:r>
              <w:rPr>
                <w:sz w:val="22"/>
                <w:szCs w:val="22"/>
              </w:rPr>
              <w:t>33,6%</w:t>
            </w:r>
          </w:p>
        </w:tc>
        <w:tc>
          <w:tcPr>
            <w:tcW w:w="1531" w:type="dxa"/>
            <w:vAlign w:val="center"/>
          </w:tcPr>
          <w:p w:rsidR="007F2993" w:rsidRPr="00F12520" w:rsidRDefault="007F2993" w:rsidP="000A5EE6">
            <w:pPr>
              <w:jc w:val="center"/>
              <w:rPr>
                <w:sz w:val="22"/>
                <w:szCs w:val="22"/>
              </w:rPr>
            </w:pPr>
          </w:p>
        </w:tc>
        <w:tc>
          <w:tcPr>
            <w:tcW w:w="1531" w:type="dxa"/>
            <w:vAlign w:val="center"/>
          </w:tcPr>
          <w:p w:rsidR="007F2993" w:rsidRPr="00F12520" w:rsidRDefault="007F2993" w:rsidP="000A5EE6">
            <w:pPr>
              <w:jc w:val="center"/>
              <w:rPr>
                <w:sz w:val="22"/>
                <w:szCs w:val="22"/>
              </w:rPr>
            </w:pPr>
          </w:p>
        </w:tc>
      </w:tr>
      <w:tr w:rsidR="007F2993" w:rsidRPr="00D452D7" w:rsidTr="00EC0840">
        <w:tc>
          <w:tcPr>
            <w:tcW w:w="2103" w:type="dxa"/>
          </w:tcPr>
          <w:p w:rsidR="007F2993" w:rsidRPr="00D452D7" w:rsidRDefault="007F2993" w:rsidP="007F2993">
            <w:pPr>
              <w:spacing w:before="20" w:after="20"/>
              <w:rPr>
                <w:sz w:val="22"/>
                <w:szCs w:val="22"/>
              </w:rPr>
            </w:pPr>
            <w:r>
              <w:rPr>
                <w:sz w:val="22"/>
                <w:szCs w:val="22"/>
              </w:rPr>
              <w:t>Возмещение затрат</w:t>
            </w:r>
          </w:p>
        </w:tc>
        <w:tc>
          <w:tcPr>
            <w:tcW w:w="737" w:type="dxa"/>
            <w:vAlign w:val="center"/>
          </w:tcPr>
          <w:p w:rsidR="007F2993" w:rsidRPr="00F12520" w:rsidRDefault="007F2993" w:rsidP="000A5EE6">
            <w:pPr>
              <w:spacing w:before="20" w:after="20"/>
              <w:jc w:val="center"/>
              <w:rPr>
                <w:sz w:val="22"/>
                <w:szCs w:val="22"/>
              </w:rPr>
            </w:pPr>
          </w:p>
        </w:tc>
        <w:tc>
          <w:tcPr>
            <w:tcW w:w="624" w:type="dxa"/>
            <w:vAlign w:val="center"/>
          </w:tcPr>
          <w:p w:rsidR="007F2993" w:rsidRPr="00F12520" w:rsidRDefault="007F2993" w:rsidP="000A5EE6">
            <w:pPr>
              <w:spacing w:before="20" w:after="20"/>
              <w:jc w:val="center"/>
              <w:rPr>
                <w:sz w:val="22"/>
                <w:szCs w:val="22"/>
              </w:rPr>
            </w:pPr>
            <w:r>
              <w:rPr>
                <w:sz w:val="22"/>
                <w:szCs w:val="22"/>
              </w:rPr>
              <w:t>15,5</w:t>
            </w:r>
          </w:p>
        </w:tc>
        <w:tc>
          <w:tcPr>
            <w:tcW w:w="737" w:type="dxa"/>
            <w:vAlign w:val="center"/>
          </w:tcPr>
          <w:p w:rsidR="007F2993" w:rsidRPr="00F12520" w:rsidRDefault="00EC0840" w:rsidP="007F2993">
            <w:pPr>
              <w:spacing w:before="20" w:after="20"/>
              <w:jc w:val="center"/>
              <w:rPr>
                <w:sz w:val="22"/>
                <w:szCs w:val="22"/>
              </w:rPr>
            </w:pPr>
            <w:r>
              <w:rPr>
                <w:sz w:val="22"/>
                <w:szCs w:val="22"/>
              </w:rPr>
              <w:t>64,8</w:t>
            </w:r>
          </w:p>
        </w:tc>
        <w:tc>
          <w:tcPr>
            <w:tcW w:w="794" w:type="dxa"/>
            <w:vAlign w:val="center"/>
          </w:tcPr>
          <w:p w:rsidR="007F2993" w:rsidRPr="00F12520" w:rsidRDefault="007F2993" w:rsidP="000A5EE6">
            <w:pPr>
              <w:spacing w:before="20" w:after="20"/>
              <w:jc w:val="center"/>
              <w:rPr>
                <w:sz w:val="22"/>
                <w:szCs w:val="22"/>
              </w:rPr>
            </w:pPr>
          </w:p>
        </w:tc>
        <w:tc>
          <w:tcPr>
            <w:tcW w:w="794" w:type="dxa"/>
            <w:vAlign w:val="center"/>
          </w:tcPr>
          <w:p w:rsidR="007F2993" w:rsidRPr="00F12520" w:rsidRDefault="007F2993" w:rsidP="000A5EE6">
            <w:pPr>
              <w:spacing w:before="20" w:after="20"/>
              <w:jc w:val="center"/>
              <w:rPr>
                <w:sz w:val="22"/>
                <w:szCs w:val="22"/>
              </w:rPr>
            </w:pPr>
            <w:r>
              <w:rPr>
                <w:sz w:val="22"/>
                <w:szCs w:val="22"/>
              </w:rPr>
              <w:t>25,0%</w:t>
            </w:r>
          </w:p>
        </w:tc>
        <w:tc>
          <w:tcPr>
            <w:tcW w:w="794" w:type="dxa"/>
            <w:vAlign w:val="center"/>
          </w:tcPr>
          <w:p w:rsidR="007F2993" w:rsidRPr="00F12520" w:rsidRDefault="00EC0840" w:rsidP="007F2993">
            <w:pPr>
              <w:spacing w:before="20" w:after="20"/>
              <w:jc w:val="center"/>
              <w:rPr>
                <w:sz w:val="22"/>
                <w:szCs w:val="22"/>
              </w:rPr>
            </w:pPr>
            <w:r>
              <w:rPr>
                <w:sz w:val="22"/>
                <w:szCs w:val="22"/>
              </w:rPr>
              <w:t>30,1%</w:t>
            </w:r>
          </w:p>
        </w:tc>
        <w:tc>
          <w:tcPr>
            <w:tcW w:w="1531" w:type="dxa"/>
            <w:vAlign w:val="center"/>
          </w:tcPr>
          <w:p w:rsidR="007F2993" w:rsidRPr="00F12520" w:rsidRDefault="007F2993" w:rsidP="000A5EE6">
            <w:pPr>
              <w:spacing w:before="20" w:after="20"/>
              <w:jc w:val="center"/>
              <w:rPr>
                <w:sz w:val="22"/>
                <w:szCs w:val="22"/>
              </w:rPr>
            </w:pPr>
          </w:p>
        </w:tc>
        <w:tc>
          <w:tcPr>
            <w:tcW w:w="1531" w:type="dxa"/>
            <w:vAlign w:val="center"/>
          </w:tcPr>
          <w:p w:rsidR="007F2993" w:rsidRPr="00F12520" w:rsidRDefault="00EC0840" w:rsidP="007F2993">
            <w:pPr>
              <w:spacing w:before="20" w:after="20"/>
              <w:jc w:val="center"/>
              <w:rPr>
                <w:sz w:val="22"/>
                <w:szCs w:val="22"/>
              </w:rPr>
            </w:pPr>
            <w:r>
              <w:rPr>
                <w:sz w:val="22"/>
                <w:szCs w:val="22"/>
              </w:rPr>
              <w:t>49,3 / 4,2 раза</w:t>
            </w:r>
          </w:p>
        </w:tc>
      </w:tr>
      <w:tr w:rsidR="007F2993" w:rsidRPr="00D452D7" w:rsidTr="00EC0840">
        <w:trPr>
          <w:trHeight w:val="283"/>
        </w:trPr>
        <w:tc>
          <w:tcPr>
            <w:tcW w:w="2103" w:type="dxa"/>
          </w:tcPr>
          <w:p w:rsidR="007F2993" w:rsidRPr="00D452D7" w:rsidRDefault="007F2993" w:rsidP="00EC0840">
            <w:pPr>
              <w:spacing w:before="40" w:after="40"/>
              <w:jc w:val="both"/>
              <w:rPr>
                <w:sz w:val="22"/>
                <w:szCs w:val="22"/>
              </w:rPr>
            </w:pPr>
            <w:r>
              <w:rPr>
                <w:sz w:val="22"/>
                <w:szCs w:val="22"/>
              </w:rPr>
              <w:t>Прочие</w:t>
            </w:r>
          </w:p>
        </w:tc>
        <w:tc>
          <w:tcPr>
            <w:tcW w:w="737" w:type="dxa"/>
            <w:vAlign w:val="center"/>
          </w:tcPr>
          <w:p w:rsidR="007F2993" w:rsidRPr="00F12520" w:rsidRDefault="007F2993" w:rsidP="00EC0840">
            <w:pPr>
              <w:spacing w:before="40" w:after="40"/>
              <w:jc w:val="center"/>
              <w:rPr>
                <w:sz w:val="22"/>
                <w:szCs w:val="22"/>
              </w:rPr>
            </w:pPr>
            <w:r>
              <w:rPr>
                <w:sz w:val="22"/>
                <w:szCs w:val="22"/>
              </w:rPr>
              <w:t>71,2</w:t>
            </w:r>
          </w:p>
        </w:tc>
        <w:tc>
          <w:tcPr>
            <w:tcW w:w="624" w:type="dxa"/>
            <w:vAlign w:val="center"/>
          </w:tcPr>
          <w:p w:rsidR="007F2993" w:rsidRPr="00F12520" w:rsidRDefault="007F2993" w:rsidP="00EC0840">
            <w:pPr>
              <w:spacing w:before="40" w:after="40"/>
              <w:jc w:val="center"/>
              <w:rPr>
                <w:sz w:val="22"/>
                <w:szCs w:val="22"/>
              </w:rPr>
            </w:pPr>
            <w:r>
              <w:rPr>
                <w:sz w:val="22"/>
                <w:szCs w:val="22"/>
              </w:rPr>
              <w:t>4,4</w:t>
            </w:r>
          </w:p>
        </w:tc>
        <w:tc>
          <w:tcPr>
            <w:tcW w:w="737" w:type="dxa"/>
            <w:vAlign w:val="center"/>
          </w:tcPr>
          <w:p w:rsidR="007F2993" w:rsidRPr="00F12520" w:rsidRDefault="00EC0840" w:rsidP="00EC0840">
            <w:pPr>
              <w:spacing w:before="40" w:after="40"/>
              <w:jc w:val="center"/>
              <w:rPr>
                <w:sz w:val="22"/>
                <w:szCs w:val="22"/>
              </w:rPr>
            </w:pPr>
            <w:r>
              <w:rPr>
                <w:sz w:val="22"/>
                <w:szCs w:val="22"/>
              </w:rPr>
              <w:t>13,6</w:t>
            </w:r>
          </w:p>
        </w:tc>
        <w:tc>
          <w:tcPr>
            <w:tcW w:w="794" w:type="dxa"/>
            <w:vAlign w:val="center"/>
          </w:tcPr>
          <w:p w:rsidR="007F2993" w:rsidRPr="00F12520" w:rsidRDefault="007F2993" w:rsidP="00EC0840">
            <w:pPr>
              <w:spacing w:before="40" w:after="40"/>
              <w:jc w:val="center"/>
              <w:rPr>
                <w:sz w:val="22"/>
                <w:szCs w:val="22"/>
              </w:rPr>
            </w:pPr>
            <w:r>
              <w:rPr>
                <w:sz w:val="22"/>
                <w:szCs w:val="22"/>
              </w:rPr>
              <w:t>52,0%</w:t>
            </w:r>
          </w:p>
        </w:tc>
        <w:tc>
          <w:tcPr>
            <w:tcW w:w="794" w:type="dxa"/>
            <w:vAlign w:val="center"/>
          </w:tcPr>
          <w:p w:rsidR="007F2993" w:rsidRPr="00F12520" w:rsidRDefault="007F2993" w:rsidP="00EC0840">
            <w:pPr>
              <w:spacing w:before="40" w:after="40"/>
              <w:jc w:val="center"/>
              <w:rPr>
                <w:sz w:val="22"/>
                <w:szCs w:val="22"/>
              </w:rPr>
            </w:pPr>
            <w:r>
              <w:rPr>
                <w:sz w:val="22"/>
                <w:szCs w:val="22"/>
              </w:rPr>
              <w:t>7,1%</w:t>
            </w:r>
          </w:p>
        </w:tc>
        <w:tc>
          <w:tcPr>
            <w:tcW w:w="794" w:type="dxa"/>
            <w:vAlign w:val="center"/>
          </w:tcPr>
          <w:p w:rsidR="007F2993" w:rsidRPr="00F12520" w:rsidRDefault="00EC0840" w:rsidP="00EC0840">
            <w:pPr>
              <w:spacing w:before="40" w:after="40"/>
              <w:jc w:val="center"/>
              <w:rPr>
                <w:sz w:val="22"/>
                <w:szCs w:val="22"/>
              </w:rPr>
            </w:pPr>
            <w:r>
              <w:rPr>
                <w:sz w:val="22"/>
                <w:szCs w:val="22"/>
              </w:rPr>
              <w:t>6,3%</w:t>
            </w:r>
          </w:p>
        </w:tc>
        <w:tc>
          <w:tcPr>
            <w:tcW w:w="1531" w:type="dxa"/>
            <w:vAlign w:val="center"/>
          </w:tcPr>
          <w:p w:rsidR="007F2993" w:rsidRPr="00F12520" w:rsidRDefault="007F2993" w:rsidP="00EC0840">
            <w:pPr>
              <w:spacing w:before="40" w:after="40"/>
              <w:jc w:val="center"/>
              <w:rPr>
                <w:sz w:val="22"/>
                <w:szCs w:val="22"/>
              </w:rPr>
            </w:pPr>
            <w:r>
              <w:rPr>
                <w:sz w:val="22"/>
                <w:szCs w:val="22"/>
              </w:rPr>
              <w:t>-66,8 / -93,8%</w:t>
            </w:r>
          </w:p>
        </w:tc>
        <w:tc>
          <w:tcPr>
            <w:tcW w:w="1531" w:type="dxa"/>
            <w:vAlign w:val="center"/>
          </w:tcPr>
          <w:p w:rsidR="007F2993" w:rsidRPr="00F12520" w:rsidRDefault="00EC0840" w:rsidP="00EC0840">
            <w:pPr>
              <w:spacing w:before="40" w:after="40"/>
              <w:jc w:val="center"/>
              <w:rPr>
                <w:sz w:val="22"/>
                <w:szCs w:val="22"/>
              </w:rPr>
            </w:pPr>
            <w:r>
              <w:rPr>
                <w:sz w:val="22"/>
                <w:szCs w:val="22"/>
              </w:rPr>
              <w:t>9,2 / 3,1 раза</w:t>
            </w:r>
          </w:p>
        </w:tc>
      </w:tr>
      <w:tr w:rsidR="007F2993" w:rsidRPr="0029403D" w:rsidTr="00EC0840">
        <w:tc>
          <w:tcPr>
            <w:tcW w:w="2103" w:type="dxa"/>
          </w:tcPr>
          <w:p w:rsidR="007F2993" w:rsidRPr="0029403D" w:rsidRDefault="007F2993" w:rsidP="00616D3B">
            <w:pPr>
              <w:rPr>
                <w:b/>
                <w:sz w:val="22"/>
                <w:szCs w:val="22"/>
              </w:rPr>
            </w:pPr>
            <w:r w:rsidRPr="0029403D">
              <w:rPr>
                <w:b/>
                <w:sz w:val="22"/>
                <w:szCs w:val="22"/>
              </w:rPr>
              <w:t xml:space="preserve">Итого </w:t>
            </w:r>
            <w:r>
              <w:rPr>
                <w:b/>
                <w:sz w:val="22"/>
                <w:szCs w:val="22"/>
              </w:rPr>
              <w:t>не</w:t>
            </w:r>
            <w:r w:rsidRPr="0029403D">
              <w:rPr>
                <w:b/>
                <w:sz w:val="22"/>
                <w:szCs w:val="22"/>
              </w:rPr>
              <w:t>налог</w:t>
            </w:r>
            <w:r w:rsidRPr="0029403D">
              <w:rPr>
                <w:b/>
                <w:sz w:val="22"/>
                <w:szCs w:val="22"/>
              </w:rPr>
              <w:t>о</w:t>
            </w:r>
            <w:r w:rsidRPr="0029403D">
              <w:rPr>
                <w:b/>
                <w:sz w:val="22"/>
                <w:szCs w:val="22"/>
              </w:rPr>
              <w:t>вых доходов</w:t>
            </w:r>
          </w:p>
        </w:tc>
        <w:tc>
          <w:tcPr>
            <w:tcW w:w="737" w:type="dxa"/>
            <w:vAlign w:val="center"/>
          </w:tcPr>
          <w:p w:rsidR="007F2993" w:rsidRPr="00F12520" w:rsidRDefault="007F2993" w:rsidP="000A5EE6">
            <w:pPr>
              <w:jc w:val="center"/>
              <w:rPr>
                <w:b/>
                <w:sz w:val="22"/>
                <w:szCs w:val="22"/>
              </w:rPr>
            </w:pPr>
            <w:r>
              <w:rPr>
                <w:b/>
                <w:sz w:val="22"/>
                <w:szCs w:val="22"/>
              </w:rPr>
              <w:t>136,9</w:t>
            </w:r>
          </w:p>
        </w:tc>
        <w:tc>
          <w:tcPr>
            <w:tcW w:w="624" w:type="dxa"/>
            <w:vAlign w:val="center"/>
          </w:tcPr>
          <w:p w:rsidR="007F2993" w:rsidRPr="00F12520" w:rsidRDefault="007F2993" w:rsidP="000A5EE6">
            <w:pPr>
              <w:jc w:val="center"/>
              <w:rPr>
                <w:b/>
                <w:sz w:val="22"/>
                <w:szCs w:val="22"/>
              </w:rPr>
            </w:pPr>
            <w:r>
              <w:rPr>
                <w:b/>
                <w:sz w:val="22"/>
                <w:szCs w:val="22"/>
              </w:rPr>
              <w:t>62,1</w:t>
            </w:r>
          </w:p>
        </w:tc>
        <w:tc>
          <w:tcPr>
            <w:tcW w:w="737" w:type="dxa"/>
            <w:vAlign w:val="center"/>
          </w:tcPr>
          <w:p w:rsidR="007F2993" w:rsidRPr="00F12520" w:rsidRDefault="00EC0840" w:rsidP="00616D3B">
            <w:pPr>
              <w:jc w:val="center"/>
              <w:rPr>
                <w:b/>
                <w:sz w:val="22"/>
                <w:szCs w:val="22"/>
              </w:rPr>
            </w:pPr>
            <w:r>
              <w:rPr>
                <w:b/>
                <w:sz w:val="22"/>
                <w:szCs w:val="22"/>
              </w:rPr>
              <w:t>215,0</w:t>
            </w:r>
          </w:p>
        </w:tc>
        <w:tc>
          <w:tcPr>
            <w:tcW w:w="794" w:type="dxa"/>
            <w:vAlign w:val="center"/>
          </w:tcPr>
          <w:p w:rsidR="007F2993" w:rsidRPr="00F12520" w:rsidRDefault="007F2993" w:rsidP="00616D3B">
            <w:pPr>
              <w:jc w:val="center"/>
              <w:rPr>
                <w:b/>
                <w:sz w:val="22"/>
                <w:szCs w:val="22"/>
              </w:rPr>
            </w:pPr>
            <w:r w:rsidRPr="00F12520">
              <w:rPr>
                <w:b/>
                <w:sz w:val="22"/>
                <w:szCs w:val="22"/>
              </w:rPr>
              <w:t>100%</w:t>
            </w:r>
          </w:p>
        </w:tc>
        <w:tc>
          <w:tcPr>
            <w:tcW w:w="794" w:type="dxa"/>
            <w:vAlign w:val="center"/>
          </w:tcPr>
          <w:p w:rsidR="007F2993" w:rsidRPr="00F12520" w:rsidRDefault="007F2993" w:rsidP="00616D3B">
            <w:pPr>
              <w:jc w:val="center"/>
              <w:rPr>
                <w:b/>
                <w:sz w:val="22"/>
                <w:szCs w:val="22"/>
              </w:rPr>
            </w:pPr>
            <w:r w:rsidRPr="00F12520">
              <w:rPr>
                <w:b/>
                <w:sz w:val="22"/>
                <w:szCs w:val="22"/>
              </w:rPr>
              <w:t>100%</w:t>
            </w:r>
          </w:p>
        </w:tc>
        <w:tc>
          <w:tcPr>
            <w:tcW w:w="794" w:type="dxa"/>
            <w:vAlign w:val="center"/>
          </w:tcPr>
          <w:p w:rsidR="007F2993" w:rsidRPr="00F12520" w:rsidRDefault="007F2993" w:rsidP="00616D3B">
            <w:pPr>
              <w:jc w:val="center"/>
              <w:rPr>
                <w:b/>
                <w:sz w:val="22"/>
                <w:szCs w:val="22"/>
              </w:rPr>
            </w:pPr>
            <w:r w:rsidRPr="00F12520">
              <w:rPr>
                <w:b/>
                <w:sz w:val="22"/>
                <w:szCs w:val="22"/>
              </w:rPr>
              <w:t>100%</w:t>
            </w:r>
          </w:p>
        </w:tc>
        <w:tc>
          <w:tcPr>
            <w:tcW w:w="1531" w:type="dxa"/>
            <w:vAlign w:val="center"/>
          </w:tcPr>
          <w:p w:rsidR="007F2993" w:rsidRPr="00F12520" w:rsidRDefault="007F2993" w:rsidP="000A5EE6">
            <w:pPr>
              <w:jc w:val="center"/>
              <w:rPr>
                <w:b/>
                <w:sz w:val="22"/>
                <w:szCs w:val="22"/>
              </w:rPr>
            </w:pPr>
            <w:r>
              <w:rPr>
                <w:b/>
                <w:sz w:val="22"/>
                <w:szCs w:val="22"/>
              </w:rPr>
              <w:t>-74,8 / -54,6%</w:t>
            </w:r>
          </w:p>
        </w:tc>
        <w:tc>
          <w:tcPr>
            <w:tcW w:w="1531" w:type="dxa"/>
            <w:vAlign w:val="center"/>
          </w:tcPr>
          <w:p w:rsidR="00EC0840" w:rsidRDefault="00EC0840" w:rsidP="00616D3B">
            <w:pPr>
              <w:jc w:val="center"/>
              <w:rPr>
                <w:b/>
                <w:sz w:val="22"/>
                <w:szCs w:val="22"/>
              </w:rPr>
            </w:pPr>
            <w:r>
              <w:rPr>
                <w:b/>
                <w:sz w:val="22"/>
                <w:szCs w:val="22"/>
              </w:rPr>
              <w:t xml:space="preserve">152,9 / </w:t>
            </w:r>
          </w:p>
          <w:p w:rsidR="007F2993" w:rsidRPr="00F12520" w:rsidRDefault="00EC0840" w:rsidP="00616D3B">
            <w:pPr>
              <w:jc w:val="center"/>
              <w:rPr>
                <w:b/>
                <w:sz w:val="22"/>
                <w:szCs w:val="22"/>
              </w:rPr>
            </w:pPr>
            <w:r>
              <w:rPr>
                <w:b/>
                <w:sz w:val="22"/>
                <w:szCs w:val="22"/>
              </w:rPr>
              <w:t>3,5 раза</w:t>
            </w:r>
          </w:p>
        </w:tc>
      </w:tr>
    </w:tbl>
    <w:p w:rsidR="009C03FE" w:rsidRPr="0029403D" w:rsidRDefault="005E15EC" w:rsidP="009C03FE">
      <w:pPr>
        <w:spacing w:before="120"/>
        <w:ind w:firstLine="567"/>
        <w:jc w:val="both"/>
      </w:pPr>
      <w:r w:rsidRPr="0029403D">
        <w:rPr>
          <w:rFonts w:ascii="Times New Roman CYR" w:hAnsi="Times New Roman CYR" w:cs="Times New Roman CYR"/>
          <w:b/>
        </w:rPr>
        <w:t>Безвозмездные поступления</w:t>
      </w:r>
      <w:r w:rsidRPr="0029403D">
        <w:rPr>
          <w:rFonts w:ascii="Times New Roman CYR" w:hAnsi="Times New Roman CYR" w:cs="Times New Roman CYR"/>
        </w:rPr>
        <w:t xml:space="preserve"> </w:t>
      </w:r>
      <w:r w:rsidR="009C03FE" w:rsidRPr="0029403D">
        <w:rPr>
          <w:bCs/>
          <w:iCs/>
        </w:rPr>
        <w:t xml:space="preserve">местного бюджета за </w:t>
      </w:r>
      <w:r w:rsidR="007F2993">
        <w:rPr>
          <w:bCs/>
          <w:iCs/>
        </w:rPr>
        <w:t>2014</w:t>
      </w:r>
      <w:r w:rsidR="009C03FE" w:rsidRPr="0029403D">
        <w:rPr>
          <w:bCs/>
          <w:iCs/>
        </w:rPr>
        <w:t xml:space="preserve"> год исполнены в объеме </w:t>
      </w:r>
      <w:r w:rsidR="000A5EE6">
        <w:rPr>
          <w:bCs/>
          <w:iCs/>
        </w:rPr>
        <w:t>21011,5</w:t>
      </w:r>
      <w:r w:rsidR="009C03FE" w:rsidRPr="0029403D">
        <w:rPr>
          <w:bCs/>
          <w:iCs/>
        </w:rPr>
        <w:t xml:space="preserve"> тыс. руб. или </w:t>
      </w:r>
      <w:r w:rsidR="000A5EE6">
        <w:rPr>
          <w:bCs/>
          <w:iCs/>
        </w:rPr>
        <w:t>97,8</w:t>
      </w:r>
      <w:r w:rsidR="009C03FE" w:rsidRPr="0029403D">
        <w:rPr>
          <w:bCs/>
          <w:iCs/>
        </w:rPr>
        <w:t>% от плановых назначений</w:t>
      </w:r>
      <w:r w:rsidR="00793BB0" w:rsidRPr="0029403D">
        <w:t>.</w:t>
      </w:r>
      <w:r w:rsidR="00030C63">
        <w:t xml:space="preserve"> Согласно данным формы 0503164 </w:t>
      </w:r>
      <w:r w:rsidR="00030C63" w:rsidRPr="005009AF">
        <w:t xml:space="preserve">«Сведения об исполнении бюджета» неисполнение плана по безвозмездным поступлениям в объёме </w:t>
      </w:r>
      <w:r w:rsidR="000A5EE6" w:rsidRPr="005009AF">
        <w:t>469,7</w:t>
      </w:r>
      <w:r w:rsidR="00030C63" w:rsidRPr="005009AF">
        <w:t xml:space="preserve"> тыс. руб. связано</w:t>
      </w:r>
      <w:r w:rsidR="005009AF">
        <w:t>, в том числе,</w:t>
      </w:r>
      <w:r w:rsidR="00030C63" w:rsidRPr="005009AF">
        <w:t xml:space="preserve"> с </w:t>
      </w:r>
      <w:proofErr w:type="spellStart"/>
      <w:r w:rsidR="00030C63" w:rsidRPr="005009AF">
        <w:t>непоступлением</w:t>
      </w:r>
      <w:proofErr w:type="spellEnd"/>
      <w:r w:rsidR="00030C63" w:rsidRPr="005009AF">
        <w:t xml:space="preserve"> средств из бюджета</w:t>
      </w:r>
      <w:r w:rsidR="005009AF">
        <w:t xml:space="preserve"> муниц</w:t>
      </w:r>
      <w:r w:rsidR="005009AF">
        <w:t>и</w:t>
      </w:r>
      <w:r w:rsidR="005009AF">
        <w:t>пального района по причине недопоступления доходов от уплаты акцизов на нефтепродукты</w:t>
      </w:r>
      <w:r w:rsidR="00030C63" w:rsidRPr="005009AF">
        <w:t>.</w:t>
      </w:r>
    </w:p>
    <w:p w:rsidR="005E15EC" w:rsidRPr="0029403D" w:rsidRDefault="005E15EC" w:rsidP="00643E3E">
      <w:pPr>
        <w:spacing w:before="60"/>
        <w:ind w:firstLine="567"/>
        <w:jc w:val="both"/>
      </w:pPr>
      <w:r w:rsidRPr="0029403D">
        <w:t xml:space="preserve">Подробный анализ </w:t>
      </w:r>
      <w:r w:rsidR="00767833" w:rsidRPr="0029403D">
        <w:t xml:space="preserve">поступления </w:t>
      </w:r>
      <w:r w:rsidRPr="0029403D">
        <w:t xml:space="preserve">безвозмездных поступлений представлен в таблице </w:t>
      </w:r>
      <w:r w:rsidR="00B06BE2">
        <w:t>3</w:t>
      </w:r>
      <w:r w:rsidRPr="0029403D">
        <w:t>.</w:t>
      </w:r>
    </w:p>
    <w:p w:rsidR="005E15EC" w:rsidRPr="00643E3E" w:rsidRDefault="005E15EC" w:rsidP="00030C63">
      <w:pPr>
        <w:spacing w:before="120" w:after="120"/>
        <w:jc w:val="center"/>
        <w:rPr>
          <w:sz w:val="22"/>
          <w:szCs w:val="22"/>
        </w:rPr>
      </w:pPr>
      <w:r w:rsidRPr="00643E3E">
        <w:rPr>
          <w:sz w:val="22"/>
          <w:szCs w:val="22"/>
        </w:rPr>
        <w:t xml:space="preserve">Таблица </w:t>
      </w:r>
      <w:r w:rsidR="00B06BE2">
        <w:rPr>
          <w:sz w:val="22"/>
          <w:szCs w:val="22"/>
        </w:rPr>
        <w:t>3</w:t>
      </w:r>
      <w:r w:rsidRPr="00643E3E">
        <w:rPr>
          <w:sz w:val="22"/>
          <w:szCs w:val="22"/>
        </w:rPr>
        <w:t xml:space="preserve">. </w:t>
      </w:r>
      <w:r w:rsidR="004E793D" w:rsidRPr="00643E3E">
        <w:rPr>
          <w:sz w:val="22"/>
          <w:szCs w:val="22"/>
        </w:rPr>
        <w:t>С</w:t>
      </w:r>
      <w:r w:rsidRPr="00643E3E">
        <w:rPr>
          <w:sz w:val="22"/>
          <w:szCs w:val="22"/>
        </w:rPr>
        <w:t>труктур</w:t>
      </w:r>
      <w:r w:rsidR="004E793D" w:rsidRPr="00643E3E">
        <w:rPr>
          <w:sz w:val="22"/>
          <w:szCs w:val="22"/>
        </w:rPr>
        <w:t>а</w:t>
      </w:r>
      <w:r w:rsidRPr="00643E3E">
        <w:rPr>
          <w:sz w:val="22"/>
          <w:szCs w:val="22"/>
        </w:rPr>
        <w:t xml:space="preserve"> безвозмездных поступлений местного бюджета, тыс. руб.</w:t>
      </w:r>
    </w:p>
    <w:tbl>
      <w:tblPr>
        <w:tblW w:w="96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993"/>
        <w:gridCol w:w="992"/>
        <w:gridCol w:w="992"/>
        <w:gridCol w:w="794"/>
        <w:gridCol w:w="794"/>
        <w:gridCol w:w="794"/>
        <w:gridCol w:w="1329"/>
        <w:gridCol w:w="1275"/>
      </w:tblGrid>
      <w:tr w:rsidR="000C0B4C" w:rsidRPr="0029403D" w:rsidTr="00616D3B">
        <w:trPr>
          <w:trHeight w:val="528"/>
        </w:trPr>
        <w:tc>
          <w:tcPr>
            <w:tcW w:w="1701" w:type="dxa"/>
            <w:vMerge w:val="restart"/>
            <w:vAlign w:val="center"/>
          </w:tcPr>
          <w:p w:rsidR="000C0B4C" w:rsidRPr="0029403D" w:rsidRDefault="000C0B4C" w:rsidP="00877B5F">
            <w:pPr>
              <w:rPr>
                <w:i/>
                <w:sz w:val="20"/>
                <w:szCs w:val="20"/>
              </w:rPr>
            </w:pPr>
            <w:r w:rsidRPr="0029403D">
              <w:rPr>
                <w:i/>
                <w:sz w:val="20"/>
                <w:szCs w:val="20"/>
              </w:rPr>
              <w:t>Наименования дохода</w:t>
            </w:r>
          </w:p>
        </w:tc>
        <w:tc>
          <w:tcPr>
            <w:tcW w:w="2977" w:type="dxa"/>
            <w:gridSpan w:val="3"/>
            <w:vAlign w:val="center"/>
          </w:tcPr>
          <w:p w:rsidR="000C0B4C" w:rsidRPr="0029403D" w:rsidRDefault="000C0B4C" w:rsidP="002E14C6">
            <w:pPr>
              <w:jc w:val="center"/>
              <w:rPr>
                <w:i/>
                <w:sz w:val="20"/>
                <w:szCs w:val="20"/>
              </w:rPr>
            </w:pPr>
            <w:r w:rsidRPr="0029403D">
              <w:rPr>
                <w:i/>
                <w:sz w:val="20"/>
                <w:szCs w:val="20"/>
              </w:rPr>
              <w:t>Исполнение бюджета</w:t>
            </w:r>
          </w:p>
        </w:tc>
        <w:tc>
          <w:tcPr>
            <w:tcW w:w="2382" w:type="dxa"/>
            <w:gridSpan w:val="3"/>
          </w:tcPr>
          <w:p w:rsidR="000C0B4C" w:rsidRPr="0029403D" w:rsidRDefault="000C0B4C" w:rsidP="00877B5F">
            <w:pPr>
              <w:spacing w:before="40"/>
              <w:jc w:val="center"/>
              <w:rPr>
                <w:i/>
                <w:sz w:val="20"/>
                <w:szCs w:val="20"/>
              </w:rPr>
            </w:pPr>
            <w:r w:rsidRPr="0029403D">
              <w:rPr>
                <w:i/>
                <w:sz w:val="20"/>
                <w:szCs w:val="20"/>
              </w:rPr>
              <w:t>Доля в общем объёме безвозмездных посту</w:t>
            </w:r>
            <w:r w:rsidRPr="0029403D">
              <w:rPr>
                <w:i/>
                <w:sz w:val="20"/>
                <w:szCs w:val="20"/>
              </w:rPr>
              <w:t>п</w:t>
            </w:r>
            <w:r w:rsidRPr="0029403D">
              <w:rPr>
                <w:i/>
                <w:sz w:val="20"/>
                <w:szCs w:val="20"/>
              </w:rPr>
              <w:t>лений</w:t>
            </w:r>
          </w:p>
        </w:tc>
        <w:tc>
          <w:tcPr>
            <w:tcW w:w="2604" w:type="dxa"/>
            <w:gridSpan w:val="2"/>
            <w:vAlign w:val="center"/>
          </w:tcPr>
          <w:p w:rsidR="000C0B4C" w:rsidRPr="0029403D" w:rsidRDefault="000C0B4C" w:rsidP="00616D3B">
            <w:pPr>
              <w:jc w:val="center"/>
              <w:rPr>
                <w:i/>
                <w:sz w:val="20"/>
                <w:szCs w:val="20"/>
              </w:rPr>
            </w:pPr>
            <w:r w:rsidRPr="0029403D">
              <w:rPr>
                <w:i/>
                <w:sz w:val="20"/>
                <w:szCs w:val="20"/>
              </w:rPr>
              <w:t>Абсолютный прирост (тыс. руб./проценты)</w:t>
            </w:r>
          </w:p>
        </w:tc>
      </w:tr>
      <w:tr w:rsidR="000C0B4C" w:rsidRPr="0029403D" w:rsidTr="00616D3B">
        <w:trPr>
          <w:trHeight w:val="333"/>
        </w:trPr>
        <w:tc>
          <w:tcPr>
            <w:tcW w:w="1701" w:type="dxa"/>
            <w:vMerge/>
            <w:vAlign w:val="center"/>
          </w:tcPr>
          <w:p w:rsidR="000C0B4C" w:rsidRPr="0029403D" w:rsidRDefault="000C0B4C" w:rsidP="00877B5F">
            <w:pPr>
              <w:rPr>
                <w:i/>
                <w:sz w:val="20"/>
                <w:szCs w:val="20"/>
              </w:rPr>
            </w:pPr>
          </w:p>
        </w:tc>
        <w:tc>
          <w:tcPr>
            <w:tcW w:w="993" w:type="dxa"/>
            <w:vAlign w:val="center"/>
          </w:tcPr>
          <w:p w:rsidR="000C0B4C" w:rsidRPr="0029403D" w:rsidRDefault="007F2993" w:rsidP="00877B5F">
            <w:pPr>
              <w:jc w:val="center"/>
              <w:rPr>
                <w:i/>
                <w:sz w:val="20"/>
                <w:szCs w:val="20"/>
              </w:rPr>
            </w:pPr>
            <w:r>
              <w:rPr>
                <w:i/>
                <w:sz w:val="20"/>
                <w:szCs w:val="20"/>
              </w:rPr>
              <w:t>2012</w:t>
            </w:r>
          </w:p>
        </w:tc>
        <w:tc>
          <w:tcPr>
            <w:tcW w:w="992" w:type="dxa"/>
            <w:vAlign w:val="center"/>
          </w:tcPr>
          <w:p w:rsidR="000C0B4C" w:rsidRPr="0029403D" w:rsidRDefault="007F2993" w:rsidP="00877B5F">
            <w:pPr>
              <w:jc w:val="center"/>
              <w:rPr>
                <w:i/>
                <w:sz w:val="20"/>
                <w:szCs w:val="20"/>
              </w:rPr>
            </w:pPr>
            <w:r>
              <w:rPr>
                <w:i/>
                <w:sz w:val="20"/>
                <w:szCs w:val="20"/>
              </w:rPr>
              <w:t>2013</w:t>
            </w:r>
          </w:p>
        </w:tc>
        <w:tc>
          <w:tcPr>
            <w:tcW w:w="992" w:type="dxa"/>
            <w:vAlign w:val="center"/>
          </w:tcPr>
          <w:p w:rsidR="000C0B4C" w:rsidRPr="0029403D" w:rsidRDefault="007F2993" w:rsidP="00877B5F">
            <w:pPr>
              <w:jc w:val="center"/>
              <w:rPr>
                <w:i/>
                <w:sz w:val="20"/>
                <w:szCs w:val="20"/>
              </w:rPr>
            </w:pPr>
            <w:r>
              <w:rPr>
                <w:i/>
                <w:sz w:val="20"/>
                <w:szCs w:val="20"/>
              </w:rPr>
              <w:t>2014</w:t>
            </w:r>
          </w:p>
        </w:tc>
        <w:tc>
          <w:tcPr>
            <w:tcW w:w="794" w:type="dxa"/>
            <w:vAlign w:val="center"/>
          </w:tcPr>
          <w:p w:rsidR="000C0B4C" w:rsidRPr="0029403D" w:rsidRDefault="007F2993" w:rsidP="00877B5F">
            <w:pPr>
              <w:jc w:val="center"/>
              <w:rPr>
                <w:i/>
                <w:sz w:val="20"/>
                <w:szCs w:val="20"/>
              </w:rPr>
            </w:pPr>
            <w:r>
              <w:rPr>
                <w:i/>
                <w:sz w:val="20"/>
                <w:szCs w:val="20"/>
              </w:rPr>
              <w:t>2012</w:t>
            </w:r>
          </w:p>
        </w:tc>
        <w:tc>
          <w:tcPr>
            <w:tcW w:w="794" w:type="dxa"/>
            <w:vAlign w:val="center"/>
          </w:tcPr>
          <w:p w:rsidR="000C0B4C" w:rsidRPr="0029403D" w:rsidRDefault="007F2993" w:rsidP="00877B5F">
            <w:pPr>
              <w:jc w:val="center"/>
              <w:rPr>
                <w:i/>
                <w:sz w:val="20"/>
                <w:szCs w:val="20"/>
              </w:rPr>
            </w:pPr>
            <w:r>
              <w:rPr>
                <w:i/>
                <w:sz w:val="20"/>
                <w:szCs w:val="20"/>
              </w:rPr>
              <w:t>2013</w:t>
            </w:r>
          </w:p>
        </w:tc>
        <w:tc>
          <w:tcPr>
            <w:tcW w:w="794" w:type="dxa"/>
            <w:vAlign w:val="center"/>
          </w:tcPr>
          <w:p w:rsidR="000C0B4C" w:rsidRPr="0029403D" w:rsidRDefault="007F2993" w:rsidP="00877B5F">
            <w:pPr>
              <w:jc w:val="center"/>
              <w:rPr>
                <w:i/>
                <w:sz w:val="20"/>
                <w:szCs w:val="20"/>
              </w:rPr>
            </w:pPr>
            <w:r>
              <w:rPr>
                <w:i/>
                <w:sz w:val="20"/>
                <w:szCs w:val="20"/>
              </w:rPr>
              <w:t>2014</w:t>
            </w:r>
          </w:p>
        </w:tc>
        <w:tc>
          <w:tcPr>
            <w:tcW w:w="1329" w:type="dxa"/>
            <w:vAlign w:val="center"/>
          </w:tcPr>
          <w:p w:rsidR="000C0B4C" w:rsidRPr="0029403D" w:rsidRDefault="007F2993" w:rsidP="00877B5F">
            <w:pPr>
              <w:jc w:val="center"/>
              <w:rPr>
                <w:i/>
                <w:sz w:val="20"/>
                <w:szCs w:val="20"/>
              </w:rPr>
            </w:pPr>
            <w:r>
              <w:rPr>
                <w:i/>
                <w:sz w:val="20"/>
                <w:szCs w:val="20"/>
              </w:rPr>
              <w:t>2013</w:t>
            </w:r>
            <w:r w:rsidR="00616D3B">
              <w:rPr>
                <w:i/>
                <w:sz w:val="20"/>
                <w:szCs w:val="20"/>
              </w:rPr>
              <w:t xml:space="preserve"> к </w:t>
            </w:r>
            <w:r>
              <w:rPr>
                <w:i/>
                <w:sz w:val="20"/>
                <w:szCs w:val="20"/>
              </w:rPr>
              <w:t>2012</w:t>
            </w:r>
          </w:p>
        </w:tc>
        <w:tc>
          <w:tcPr>
            <w:tcW w:w="1275" w:type="dxa"/>
            <w:vAlign w:val="center"/>
          </w:tcPr>
          <w:p w:rsidR="000C0B4C" w:rsidRPr="0029403D" w:rsidRDefault="007F2993" w:rsidP="00877B5F">
            <w:pPr>
              <w:jc w:val="center"/>
              <w:rPr>
                <w:i/>
                <w:sz w:val="20"/>
                <w:szCs w:val="20"/>
              </w:rPr>
            </w:pPr>
            <w:r>
              <w:rPr>
                <w:i/>
                <w:sz w:val="20"/>
                <w:szCs w:val="20"/>
              </w:rPr>
              <w:t>2014</w:t>
            </w:r>
            <w:r w:rsidR="00616D3B">
              <w:rPr>
                <w:i/>
                <w:sz w:val="20"/>
                <w:szCs w:val="20"/>
              </w:rPr>
              <w:t xml:space="preserve"> к </w:t>
            </w:r>
            <w:r>
              <w:rPr>
                <w:i/>
                <w:sz w:val="20"/>
                <w:szCs w:val="20"/>
              </w:rPr>
              <w:t>2013</w:t>
            </w:r>
          </w:p>
        </w:tc>
      </w:tr>
      <w:tr w:rsidR="007F2993" w:rsidRPr="0029403D" w:rsidTr="00616D3B">
        <w:trPr>
          <w:trHeight w:val="283"/>
        </w:trPr>
        <w:tc>
          <w:tcPr>
            <w:tcW w:w="1701" w:type="dxa"/>
          </w:tcPr>
          <w:p w:rsidR="007F2993" w:rsidRPr="00037D1B" w:rsidRDefault="007F2993" w:rsidP="00C85818">
            <w:pPr>
              <w:spacing w:before="120"/>
              <w:rPr>
                <w:sz w:val="22"/>
                <w:szCs w:val="22"/>
              </w:rPr>
            </w:pPr>
            <w:r w:rsidRPr="00037D1B">
              <w:rPr>
                <w:sz w:val="22"/>
                <w:szCs w:val="22"/>
              </w:rPr>
              <w:t>Дотации</w:t>
            </w:r>
          </w:p>
        </w:tc>
        <w:tc>
          <w:tcPr>
            <w:tcW w:w="993" w:type="dxa"/>
            <w:vAlign w:val="center"/>
          </w:tcPr>
          <w:p w:rsidR="007F2993" w:rsidRPr="00037D1B" w:rsidRDefault="007F2993" w:rsidP="000A5EE6">
            <w:pPr>
              <w:jc w:val="center"/>
              <w:rPr>
                <w:sz w:val="22"/>
                <w:szCs w:val="22"/>
              </w:rPr>
            </w:pPr>
            <w:r>
              <w:rPr>
                <w:sz w:val="22"/>
                <w:szCs w:val="22"/>
              </w:rPr>
              <w:t>8817,3</w:t>
            </w:r>
          </w:p>
        </w:tc>
        <w:tc>
          <w:tcPr>
            <w:tcW w:w="992" w:type="dxa"/>
            <w:vAlign w:val="center"/>
          </w:tcPr>
          <w:p w:rsidR="007F2993" w:rsidRPr="00037D1B" w:rsidRDefault="007F2993" w:rsidP="000A5EE6">
            <w:pPr>
              <w:jc w:val="center"/>
              <w:rPr>
                <w:sz w:val="22"/>
                <w:szCs w:val="22"/>
              </w:rPr>
            </w:pPr>
            <w:r>
              <w:rPr>
                <w:sz w:val="22"/>
                <w:szCs w:val="22"/>
              </w:rPr>
              <w:t>9816,8</w:t>
            </w:r>
          </w:p>
        </w:tc>
        <w:tc>
          <w:tcPr>
            <w:tcW w:w="992" w:type="dxa"/>
            <w:vAlign w:val="center"/>
          </w:tcPr>
          <w:p w:rsidR="007F2993" w:rsidRPr="00037D1B" w:rsidRDefault="00EC0840" w:rsidP="00AA4629">
            <w:pPr>
              <w:jc w:val="center"/>
              <w:rPr>
                <w:sz w:val="22"/>
                <w:szCs w:val="22"/>
              </w:rPr>
            </w:pPr>
            <w:r>
              <w:rPr>
                <w:sz w:val="22"/>
                <w:szCs w:val="22"/>
              </w:rPr>
              <w:t>11644,5</w:t>
            </w:r>
          </w:p>
        </w:tc>
        <w:tc>
          <w:tcPr>
            <w:tcW w:w="794" w:type="dxa"/>
            <w:vAlign w:val="center"/>
          </w:tcPr>
          <w:p w:rsidR="007F2993" w:rsidRPr="00037D1B" w:rsidRDefault="007F2993" w:rsidP="000A5EE6">
            <w:pPr>
              <w:jc w:val="center"/>
              <w:rPr>
                <w:sz w:val="22"/>
                <w:szCs w:val="22"/>
              </w:rPr>
            </w:pPr>
            <w:r w:rsidRPr="00037D1B">
              <w:rPr>
                <w:sz w:val="22"/>
                <w:szCs w:val="22"/>
              </w:rPr>
              <w:t>7</w:t>
            </w:r>
            <w:r>
              <w:rPr>
                <w:sz w:val="22"/>
                <w:szCs w:val="22"/>
              </w:rPr>
              <w:t>6,6</w:t>
            </w:r>
            <w:r w:rsidRPr="00037D1B">
              <w:rPr>
                <w:sz w:val="22"/>
                <w:szCs w:val="22"/>
              </w:rPr>
              <w:t>%</w:t>
            </w:r>
          </w:p>
        </w:tc>
        <w:tc>
          <w:tcPr>
            <w:tcW w:w="794" w:type="dxa"/>
            <w:vAlign w:val="center"/>
          </w:tcPr>
          <w:p w:rsidR="007F2993" w:rsidRPr="00037D1B" w:rsidRDefault="007F2993" w:rsidP="000A5EE6">
            <w:pPr>
              <w:jc w:val="center"/>
              <w:rPr>
                <w:sz w:val="22"/>
                <w:szCs w:val="22"/>
              </w:rPr>
            </w:pPr>
            <w:r>
              <w:rPr>
                <w:sz w:val="22"/>
                <w:szCs w:val="22"/>
              </w:rPr>
              <w:t>73,8%</w:t>
            </w:r>
          </w:p>
        </w:tc>
        <w:tc>
          <w:tcPr>
            <w:tcW w:w="794" w:type="dxa"/>
            <w:vAlign w:val="center"/>
          </w:tcPr>
          <w:p w:rsidR="007F2993" w:rsidRPr="00037D1B" w:rsidRDefault="00EC0840" w:rsidP="009F755D">
            <w:pPr>
              <w:jc w:val="center"/>
              <w:rPr>
                <w:sz w:val="22"/>
                <w:szCs w:val="22"/>
              </w:rPr>
            </w:pPr>
            <w:r>
              <w:rPr>
                <w:sz w:val="22"/>
                <w:szCs w:val="22"/>
              </w:rPr>
              <w:t>55,4%</w:t>
            </w:r>
          </w:p>
        </w:tc>
        <w:tc>
          <w:tcPr>
            <w:tcW w:w="1329" w:type="dxa"/>
            <w:vAlign w:val="center"/>
          </w:tcPr>
          <w:p w:rsidR="007F2993" w:rsidRPr="005009AF" w:rsidRDefault="007F2993" w:rsidP="000A5EE6">
            <w:pPr>
              <w:jc w:val="center"/>
              <w:rPr>
                <w:sz w:val="20"/>
                <w:szCs w:val="20"/>
              </w:rPr>
            </w:pPr>
            <w:r w:rsidRPr="005009AF">
              <w:rPr>
                <w:sz w:val="20"/>
                <w:szCs w:val="20"/>
              </w:rPr>
              <w:t>999,5 / 11,3%</w:t>
            </w:r>
          </w:p>
        </w:tc>
        <w:tc>
          <w:tcPr>
            <w:tcW w:w="1275" w:type="dxa"/>
            <w:vAlign w:val="center"/>
          </w:tcPr>
          <w:p w:rsidR="007F2993" w:rsidRPr="005009AF" w:rsidRDefault="00EC0840" w:rsidP="00EC5468">
            <w:pPr>
              <w:jc w:val="center"/>
              <w:rPr>
                <w:sz w:val="20"/>
                <w:szCs w:val="20"/>
              </w:rPr>
            </w:pPr>
            <w:r w:rsidRPr="005009AF">
              <w:rPr>
                <w:sz w:val="20"/>
                <w:szCs w:val="20"/>
              </w:rPr>
              <w:t>1827,7 / 18,6%</w:t>
            </w:r>
          </w:p>
        </w:tc>
      </w:tr>
      <w:tr w:rsidR="007F2993" w:rsidRPr="0029403D" w:rsidTr="00616D3B">
        <w:trPr>
          <w:trHeight w:val="283"/>
        </w:trPr>
        <w:tc>
          <w:tcPr>
            <w:tcW w:w="1701" w:type="dxa"/>
          </w:tcPr>
          <w:p w:rsidR="007F2993" w:rsidRPr="00037D1B" w:rsidRDefault="007F2993" w:rsidP="00616D3B">
            <w:pPr>
              <w:spacing w:before="120"/>
              <w:rPr>
                <w:sz w:val="22"/>
                <w:szCs w:val="22"/>
              </w:rPr>
            </w:pPr>
            <w:r w:rsidRPr="00037D1B">
              <w:rPr>
                <w:sz w:val="22"/>
                <w:szCs w:val="22"/>
              </w:rPr>
              <w:t>Субсидии</w:t>
            </w:r>
          </w:p>
        </w:tc>
        <w:tc>
          <w:tcPr>
            <w:tcW w:w="993" w:type="dxa"/>
            <w:vAlign w:val="center"/>
          </w:tcPr>
          <w:p w:rsidR="007F2993" w:rsidRPr="00037D1B" w:rsidRDefault="007F2993" w:rsidP="000A5EE6">
            <w:pPr>
              <w:jc w:val="center"/>
              <w:rPr>
                <w:sz w:val="22"/>
                <w:szCs w:val="22"/>
              </w:rPr>
            </w:pPr>
            <w:r>
              <w:rPr>
                <w:sz w:val="22"/>
                <w:szCs w:val="22"/>
              </w:rPr>
              <w:t>2556,4</w:t>
            </w:r>
          </w:p>
        </w:tc>
        <w:tc>
          <w:tcPr>
            <w:tcW w:w="992" w:type="dxa"/>
            <w:vAlign w:val="center"/>
          </w:tcPr>
          <w:p w:rsidR="007F2993" w:rsidRPr="00037D1B" w:rsidRDefault="007F2993" w:rsidP="000A5EE6">
            <w:pPr>
              <w:jc w:val="center"/>
              <w:rPr>
                <w:sz w:val="22"/>
                <w:szCs w:val="22"/>
              </w:rPr>
            </w:pPr>
            <w:r>
              <w:rPr>
                <w:sz w:val="22"/>
                <w:szCs w:val="22"/>
              </w:rPr>
              <w:t>3266,4</w:t>
            </w:r>
          </w:p>
        </w:tc>
        <w:tc>
          <w:tcPr>
            <w:tcW w:w="992" w:type="dxa"/>
            <w:vAlign w:val="center"/>
          </w:tcPr>
          <w:p w:rsidR="007F2993" w:rsidRPr="00037D1B" w:rsidRDefault="00EC0840" w:rsidP="00616D3B">
            <w:pPr>
              <w:jc w:val="center"/>
              <w:rPr>
                <w:sz w:val="22"/>
                <w:szCs w:val="22"/>
              </w:rPr>
            </w:pPr>
            <w:r>
              <w:rPr>
                <w:sz w:val="22"/>
                <w:szCs w:val="22"/>
              </w:rPr>
              <w:t>8307,0</w:t>
            </w:r>
          </w:p>
        </w:tc>
        <w:tc>
          <w:tcPr>
            <w:tcW w:w="794" w:type="dxa"/>
            <w:vAlign w:val="center"/>
          </w:tcPr>
          <w:p w:rsidR="007F2993" w:rsidRPr="00037D1B" w:rsidRDefault="007F2993" w:rsidP="000A5EE6">
            <w:pPr>
              <w:jc w:val="center"/>
              <w:rPr>
                <w:sz w:val="22"/>
                <w:szCs w:val="22"/>
              </w:rPr>
            </w:pPr>
            <w:r w:rsidRPr="00037D1B">
              <w:rPr>
                <w:sz w:val="22"/>
                <w:szCs w:val="22"/>
              </w:rPr>
              <w:t>2</w:t>
            </w:r>
            <w:r>
              <w:rPr>
                <w:sz w:val="22"/>
                <w:szCs w:val="22"/>
              </w:rPr>
              <w:t>2,2</w:t>
            </w:r>
            <w:r w:rsidRPr="00037D1B">
              <w:rPr>
                <w:sz w:val="22"/>
                <w:szCs w:val="22"/>
              </w:rPr>
              <w:t>%</w:t>
            </w:r>
          </w:p>
        </w:tc>
        <w:tc>
          <w:tcPr>
            <w:tcW w:w="794" w:type="dxa"/>
            <w:vAlign w:val="center"/>
          </w:tcPr>
          <w:p w:rsidR="007F2993" w:rsidRPr="00037D1B" w:rsidRDefault="007F2993" w:rsidP="000A5EE6">
            <w:pPr>
              <w:jc w:val="center"/>
              <w:rPr>
                <w:sz w:val="22"/>
                <w:szCs w:val="22"/>
              </w:rPr>
            </w:pPr>
            <w:r>
              <w:rPr>
                <w:sz w:val="22"/>
                <w:szCs w:val="22"/>
              </w:rPr>
              <w:t>24,6%</w:t>
            </w:r>
          </w:p>
        </w:tc>
        <w:tc>
          <w:tcPr>
            <w:tcW w:w="794" w:type="dxa"/>
            <w:vAlign w:val="center"/>
          </w:tcPr>
          <w:p w:rsidR="007F2993" w:rsidRPr="00037D1B" w:rsidRDefault="00EC0840" w:rsidP="00616D3B">
            <w:pPr>
              <w:jc w:val="center"/>
              <w:rPr>
                <w:sz w:val="22"/>
                <w:szCs w:val="22"/>
              </w:rPr>
            </w:pPr>
            <w:r>
              <w:rPr>
                <w:sz w:val="22"/>
                <w:szCs w:val="22"/>
              </w:rPr>
              <w:t>39,5%</w:t>
            </w:r>
          </w:p>
        </w:tc>
        <w:tc>
          <w:tcPr>
            <w:tcW w:w="1329" w:type="dxa"/>
            <w:vAlign w:val="center"/>
          </w:tcPr>
          <w:p w:rsidR="007F2993" w:rsidRPr="005009AF" w:rsidRDefault="007F2993" w:rsidP="000A5EE6">
            <w:pPr>
              <w:jc w:val="center"/>
              <w:rPr>
                <w:sz w:val="20"/>
                <w:szCs w:val="20"/>
              </w:rPr>
            </w:pPr>
            <w:r w:rsidRPr="005009AF">
              <w:rPr>
                <w:sz w:val="20"/>
                <w:szCs w:val="20"/>
              </w:rPr>
              <w:t>710,0 / 27,8%</w:t>
            </w:r>
          </w:p>
        </w:tc>
        <w:tc>
          <w:tcPr>
            <w:tcW w:w="1275" w:type="dxa"/>
            <w:vAlign w:val="center"/>
          </w:tcPr>
          <w:p w:rsidR="007F2993" w:rsidRPr="005009AF" w:rsidRDefault="00EC0840" w:rsidP="00616D3B">
            <w:pPr>
              <w:jc w:val="center"/>
              <w:rPr>
                <w:sz w:val="20"/>
                <w:szCs w:val="20"/>
              </w:rPr>
            </w:pPr>
            <w:r w:rsidRPr="005009AF">
              <w:rPr>
                <w:sz w:val="20"/>
                <w:szCs w:val="20"/>
              </w:rPr>
              <w:t>5040,6 / 154,3%</w:t>
            </w:r>
          </w:p>
        </w:tc>
      </w:tr>
      <w:tr w:rsidR="007F2993" w:rsidRPr="0029403D" w:rsidTr="00616D3B">
        <w:trPr>
          <w:trHeight w:val="283"/>
        </w:trPr>
        <w:tc>
          <w:tcPr>
            <w:tcW w:w="1701" w:type="dxa"/>
          </w:tcPr>
          <w:p w:rsidR="007F2993" w:rsidRPr="00037D1B" w:rsidRDefault="007F2993" w:rsidP="00EC0840">
            <w:pPr>
              <w:spacing w:before="40" w:after="40"/>
              <w:rPr>
                <w:sz w:val="22"/>
                <w:szCs w:val="22"/>
              </w:rPr>
            </w:pPr>
            <w:r w:rsidRPr="00037D1B">
              <w:rPr>
                <w:sz w:val="22"/>
                <w:szCs w:val="22"/>
              </w:rPr>
              <w:t>Субвенции</w:t>
            </w:r>
          </w:p>
        </w:tc>
        <w:tc>
          <w:tcPr>
            <w:tcW w:w="993" w:type="dxa"/>
            <w:vAlign w:val="center"/>
          </w:tcPr>
          <w:p w:rsidR="007F2993" w:rsidRPr="00037D1B" w:rsidRDefault="007F2993" w:rsidP="00EC0840">
            <w:pPr>
              <w:spacing w:before="40" w:after="40"/>
              <w:jc w:val="center"/>
              <w:rPr>
                <w:sz w:val="22"/>
                <w:szCs w:val="22"/>
              </w:rPr>
            </w:pPr>
            <w:r>
              <w:rPr>
                <w:sz w:val="22"/>
                <w:szCs w:val="22"/>
              </w:rPr>
              <w:t>69,1</w:t>
            </w:r>
          </w:p>
        </w:tc>
        <w:tc>
          <w:tcPr>
            <w:tcW w:w="992" w:type="dxa"/>
            <w:vAlign w:val="center"/>
          </w:tcPr>
          <w:p w:rsidR="007F2993" w:rsidRPr="00037D1B" w:rsidRDefault="007F2993" w:rsidP="00EC0840">
            <w:pPr>
              <w:spacing w:before="40" w:after="40"/>
              <w:jc w:val="center"/>
              <w:rPr>
                <w:sz w:val="22"/>
                <w:szCs w:val="22"/>
              </w:rPr>
            </w:pPr>
            <w:r>
              <w:rPr>
                <w:sz w:val="22"/>
                <w:szCs w:val="22"/>
              </w:rPr>
              <w:t>66,1</w:t>
            </w:r>
          </w:p>
        </w:tc>
        <w:tc>
          <w:tcPr>
            <w:tcW w:w="992" w:type="dxa"/>
            <w:vAlign w:val="center"/>
          </w:tcPr>
          <w:p w:rsidR="007F2993" w:rsidRPr="00037D1B" w:rsidRDefault="00EC0840" w:rsidP="00EC0840">
            <w:pPr>
              <w:spacing w:before="40" w:after="40"/>
              <w:jc w:val="center"/>
              <w:rPr>
                <w:sz w:val="22"/>
                <w:szCs w:val="22"/>
              </w:rPr>
            </w:pPr>
            <w:r>
              <w:rPr>
                <w:sz w:val="22"/>
                <w:szCs w:val="22"/>
              </w:rPr>
              <w:t>72,8</w:t>
            </w:r>
          </w:p>
        </w:tc>
        <w:tc>
          <w:tcPr>
            <w:tcW w:w="794" w:type="dxa"/>
            <w:vAlign w:val="center"/>
          </w:tcPr>
          <w:p w:rsidR="007F2993" w:rsidRPr="00037D1B" w:rsidRDefault="007F2993" w:rsidP="00EC0840">
            <w:pPr>
              <w:spacing w:before="40" w:after="40"/>
              <w:jc w:val="center"/>
              <w:rPr>
                <w:sz w:val="22"/>
                <w:szCs w:val="22"/>
              </w:rPr>
            </w:pPr>
            <w:r>
              <w:rPr>
                <w:sz w:val="22"/>
                <w:szCs w:val="22"/>
              </w:rPr>
              <w:t>0,6</w:t>
            </w:r>
            <w:r w:rsidRPr="00037D1B">
              <w:rPr>
                <w:sz w:val="22"/>
                <w:szCs w:val="22"/>
              </w:rPr>
              <w:t>%</w:t>
            </w:r>
          </w:p>
        </w:tc>
        <w:tc>
          <w:tcPr>
            <w:tcW w:w="794" w:type="dxa"/>
            <w:vAlign w:val="center"/>
          </w:tcPr>
          <w:p w:rsidR="007F2993" w:rsidRPr="00037D1B" w:rsidRDefault="007F2993" w:rsidP="00EC0840">
            <w:pPr>
              <w:spacing w:before="40" w:after="40"/>
              <w:jc w:val="center"/>
              <w:rPr>
                <w:sz w:val="22"/>
                <w:szCs w:val="22"/>
              </w:rPr>
            </w:pPr>
            <w:r>
              <w:rPr>
                <w:sz w:val="22"/>
                <w:szCs w:val="22"/>
              </w:rPr>
              <w:t>0,5%</w:t>
            </w:r>
          </w:p>
        </w:tc>
        <w:tc>
          <w:tcPr>
            <w:tcW w:w="794" w:type="dxa"/>
            <w:vAlign w:val="center"/>
          </w:tcPr>
          <w:p w:rsidR="007F2993" w:rsidRPr="00037D1B" w:rsidRDefault="00EC0840" w:rsidP="00EC0840">
            <w:pPr>
              <w:spacing w:before="40" w:after="40"/>
              <w:jc w:val="center"/>
              <w:rPr>
                <w:sz w:val="22"/>
                <w:szCs w:val="22"/>
              </w:rPr>
            </w:pPr>
            <w:r>
              <w:rPr>
                <w:sz w:val="22"/>
                <w:szCs w:val="22"/>
              </w:rPr>
              <w:t>0,3%</w:t>
            </w:r>
          </w:p>
        </w:tc>
        <w:tc>
          <w:tcPr>
            <w:tcW w:w="1329" w:type="dxa"/>
            <w:vAlign w:val="center"/>
          </w:tcPr>
          <w:p w:rsidR="007F2993" w:rsidRPr="005009AF" w:rsidRDefault="007F2993" w:rsidP="00EC0840">
            <w:pPr>
              <w:spacing w:before="40" w:after="40"/>
              <w:jc w:val="center"/>
              <w:rPr>
                <w:sz w:val="20"/>
                <w:szCs w:val="20"/>
              </w:rPr>
            </w:pPr>
            <w:r w:rsidRPr="005009AF">
              <w:rPr>
                <w:sz w:val="20"/>
                <w:szCs w:val="20"/>
              </w:rPr>
              <w:t>-3,0 /- 4,3%</w:t>
            </w:r>
          </w:p>
        </w:tc>
        <w:tc>
          <w:tcPr>
            <w:tcW w:w="1275" w:type="dxa"/>
            <w:vAlign w:val="center"/>
          </w:tcPr>
          <w:p w:rsidR="007F2993" w:rsidRPr="005009AF" w:rsidRDefault="00EC0840" w:rsidP="00EC0840">
            <w:pPr>
              <w:spacing w:before="40" w:after="40"/>
              <w:jc w:val="center"/>
              <w:rPr>
                <w:sz w:val="20"/>
                <w:szCs w:val="20"/>
              </w:rPr>
            </w:pPr>
            <w:r w:rsidRPr="005009AF">
              <w:rPr>
                <w:sz w:val="20"/>
                <w:szCs w:val="20"/>
              </w:rPr>
              <w:t>6,7 / 10,1%</w:t>
            </w:r>
          </w:p>
        </w:tc>
      </w:tr>
      <w:tr w:rsidR="007F2993" w:rsidRPr="0029403D" w:rsidTr="00616D3B">
        <w:trPr>
          <w:trHeight w:val="283"/>
        </w:trPr>
        <w:tc>
          <w:tcPr>
            <w:tcW w:w="1701" w:type="dxa"/>
          </w:tcPr>
          <w:p w:rsidR="007F2993" w:rsidRPr="00037D1B" w:rsidRDefault="007F2993" w:rsidP="00C85818">
            <w:pPr>
              <w:spacing w:before="120"/>
              <w:rPr>
                <w:sz w:val="22"/>
                <w:szCs w:val="22"/>
              </w:rPr>
            </w:pPr>
            <w:r>
              <w:rPr>
                <w:sz w:val="22"/>
                <w:szCs w:val="22"/>
              </w:rPr>
              <w:t>ИМБТ</w:t>
            </w:r>
          </w:p>
        </w:tc>
        <w:tc>
          <w:tcPr>
            <w:tcW w:w="993" w:type="dxa"/>
            <w:vAlign w:val="center"/>
          </w:tcPr>
          <w:p w:rsidR="007F2993" w:rsidRPr="00037D1B" w:rsidRDefault="007F2993" w:rsidP="000A5EE6">
            <w:pPr>
              <w:jc w:val="center"/>
              <w:rPr>
                <w:sz w:val="22"/>
                <w:szCs w:val="22"/>
              </w:rPr>
            </w:pPr>
            <w:r>
              <w:rPr>
                <w:sz w:val="22"/>
                <w:szCs w:val="22"/>
              </w:rPr>
              <w:t>60,6</w:t>
            </w:r>
          </w:p>
        </w:tc>
        <w:tc>
          <w:tcPr>
            <w:tcW w:w="992" w:type="dxa"/>
            <w:vAlign w:val="center"/>
          </w:tcPr>
          <w:p w:rsidR="007F2993" w:rsidRPr="00037D1B" w:rsidRDefault="007F2993" w:rsidP="000A5EE6">
            <w:pPr>
              <w:jc w:val="center"/>
              <w:rPr>
                <w:sz w:val="22"/>
                <w:szCs w:val="22"/>
              </w:rPr>
            </w:pPr>
            <w:r>
              <w:rPr>
                <w:sz w:val="22"/>
                <w:szCs w:val="22"/>
              </w:rPr>
              <w:t>144,7</w:t>
            </w:r>
          </w:p>
        </w:tc>
        <w:tc>
          <w:tcPr>
            <w:tcW w:w="992" w:type="dxa"/>
            <w:vAlign w:val="center"/>
          </w:tcPr>
          <w:p w:rsidR="007F2993" w:rsidRPr="00037D1B" w:rsidRDefault="00EC0840" w:rsidP="00877B5F">
            <w:pPr>
              <w:jc w:val="center"/>
              <w:rPr>
                <w:sz w:val="22"/>
                <w:szCs w:val="22"/>
              </w:rPr>
            </w:pPr>
            <w:r>
              <w:rPr>
                <w:sz w:val="22"/>
                <w:szCs w:val="22"/>
              </w:rPr>
              <w:t>987,2</w:t>
            </w:r>
          </w:p>
        </w:tc>
        <w:tc>
          <w:tcPr>
            <w:tcW w:w="794" w:type="dxa"/>
            <w:vAlign w:val="center"/>
          </w:tcPr>
          <w:p w:rsidR="007F2993" w:rsidRPr="00037D1B" w:rsidRDefault="007F2993" w:rsidP="000A5EE6">
            <w:pPr>
              <w:jc w:val="center"/>
              <w:rPr>
                <w:sz w:val="22"/>
                <w:szCs w:val="22"/>
              </w:rPr>
            </w:pPr>
            <w:r>
              <w:rPr>
                <w:sz w:val="22"/>
                <w:szCs w:val="22"/>
              </w:rPr>
              <w:t>0,5</w:t>
            </w:r>
            <w:r w:rsidRPr="00037D1B">
              <w:rPr>
                <w:sz w:val="22"/>
                <w:szCs w:val="22"/>
              </w:rPr>
              <w:t>%</w:t>
            </w:r>
          </w:p>
        </w:tc>
        <w:tc>
          <w:tcPr>
            <w:tcW w:w="794" w:type="dxa"/>
            <w:vAlign w:val="center"/>
          </w:tcPr>
          <w:p w:rsidR="007F2993" w:rsidRPr="00037D1B" w:rsidRDefault="007F2993" w:rsidP="000A5EE6">
            <w:pPr>
              <w:jc w:val="center"/>
              <w:rPr>
                <w:sz w:val="22"/>
                <w:szCs w:val="22"/>
              </w:rPr>
            </w:pPr>
            <w:r>
              <w:rPr>
                <w:sz w:val="22"/>
                <w:szCs w:val="22"/>
              </w:rPr>
              <w:t>1,1%</w:t>
            </w:r>
          </w:p>
        </w:tc>
        <w:tc>
          <w:tcPr>
            <w:tcW w:w="794" w:type="dxa"/>
            <w:vAlign w:val="center"/>
          </w:tcPr>
          <w:p w:rsidR="007F2993" w:rsidRPr="00037D1B" w:rsidRDefault="00EC0840" w:rsidP="009F755D">
            <w:pPr>
              <w:jc w:val="center"/>
              <w:rPr>
                <w:sz w:val="22"/>
                <w:szCs w:val="22"/>
              </w:rPr>
            </w:pPr>
            <w:r>
              <w:rPr>
                <w:sz w:val="22"/>
                <w:szCs w:val="22"/>
              </w:rPr>
              <w:t>4,7%</w:t>
            </w:r>
          </w:p>
        </w:tc>
        <w:tc>
          <w:tcPr>
            <w:tcW w:w="1329" w:type="dxa"/>
            <w:vAlign w:val="center"/>
          </w:tcPr>
          <w:p w:rsidR="007F2993" w:rsidRPr="005009AF" w:rsidRDefault="007F2993" w:rsidP="000A5EE6">
            <w:pPr>
              <w:jc w:val="center"/>
              <w:rPr>
                <w:sz w:val="20"/>
                <w:szCs w:val="20"/>
              </w:rPr>
            </w:pPr>
            <w:r w:rsidRPr="005009AF">
              <w:rPr>
                <w:sz w:val="20"/>
                <w:szCs w:val="20"/>
              </w:rPr>
              <w:t>84,1 / 138,8%</w:t>
            </w:r>
          </w:p>
        </w:tc>
        <w:tc>
          <w:tcPr>
            <w:tcW w:w="1275" w:type="dxa"/>
            <w:vAlign w:val="center"/>
          </w:tcPr>
          <w:p w:rsidR="007F2993" w:rsidRPr="005009AF" w:rsidRDefault="00EC0840" w:rsidP="00763EE9">
            <w:pPr>
              <w:jc w:val="center"/>
              <w:rPr>
                <w:sz w:val="20"/>
                <w:szCs w:val="20"/>
              </w:rPr>
            </w:pPr>
            <w:r w:rsidRPr="005009AF">
              <w:rPr>
                <w:sz w:val="20"/>
                <w:szCs w:val="20"/>
              </w:rPr>
              <w:t>842,5 / 6,8 раза</w:t>
            </w:r>
          </w:p>
        </w:tc>
      </w:tr>
      <w:tr w:rsidR="007F2993" w:rsidRPr="0029403D" w:rsidTr="00616D3B">
        <w:tc>
          <w:tcPr>
            <w:tcW w:w="1701" w:type="dxa"/>
          </w:tcPr>
          <w:p w:rsidR="007F2993" w:rsidRPr="00037D1B" w:rsidRDefault="007F2993" w:rsidP="002E14C6">
            <w:pPr>
              <w:rPr>
                <w:b/>
                <w:sz w:val="22"/>
                <w:szCs w:val="22"/>
              </w:rPr>
            </w:pPr>
            <w:r w:rsidRPr="00037D1B">
              <w:rPr>
                <w:b/>
                <w:sz w:val="22"/>
                <w:szCs w:val="22"/>
              </w:rPr>
              <w:t>Итого безво</w:t>
            </w:r>
            <w:r w:rsidRPr="00037D1B">
              <w:rPr>
                <w:b/>
                <w:sz w:val="22"/>
                <w:szCs w:val="22"/>
              </w:rPr>
              <w:t>з</w:t>
            </w:r>
            <w:r w:rsidRPr="00037D1B">
              <w:rPr>
                <w:b/>
                <w:sz w:val="22"/>
                <w:szCs w:val="22"/>
              </w:rPr>
              <w:t>мездных п</w:t>
            </w:r>
            <w:r w:rsidRPr="00037D1B">
              <w:rPr>
                <w:b/>
                <w:sz w:val="22"/>
                <w:szCs w:val="22"/>
              </w:rPr>
              <w:t>о</w:t>
            </w:r>
            <w:r w:rsidRPr="00037D1B">
              <w:rPr>
                <w:b/>
                <w:sz w:val="22"/>
                <w:szCs w:val="22"/>
              </w:rPr>
              <w:t>ступлений</w:t>
            </w:r>
          </w:p>
        </w:tc>
        <w:tc>
          <w:tcPr>
            <w:tcW w:w="993" w:type="dxa"/>
            <w:vAlign w:val="center"/>
          </w:tcPr>
          <w:p w:rsidR="007F2993" w:rsidRPr="00037D1B" w:rsidRDefault="007F2993" w:rsidP="000A5EE6">
            <w:pPr>
              <w:jc w:val="center"/>
              <w:rPr>
                <w:b/>
                <w:sz w:val="22"/>
                <w:szCs w:val="22"/>
              </w:rPr>
            </w:pPr>
            <w:r>
              <w:rPr>
                <w:b/>
                <w:sz w:val="22"/>
                <w:szCs w:val="22"/>
              </w:rPr>
              <w:t>11503,4</w:t>
            </w:r>
          </w:p>
        </w:tc>
        <w:tc>
          <w:tcPr>
            <w:tcW w:w="992" w:type="dxa"/>
            <w:vAlign w:val="center"/>
          </w:tcPr>
          <w:p w:rsidR="007F2993" w:rsidRPr="00037D1B" w:rsidRDefault="007F2993" w:rsidP="000A5EE6">
            <w:pPr>
              <w:jc w:val="center"/>
              <w:rPr>
                <w:b/>
                <w:sz w:val="22"/>
                <w:szCs w:val="22"/>
              </w:rPr>
            </w:pPr>
            <w:r>
              <w:rPr>
                <w:b/>
                <w:sz w:val="22"/>
                <w:szCs w:val="22"/>
              </w:rPr>
              <w:t>13294,0</w:t>
            </w:r>
          </w:p>
        </w:tc>
        <w:tc>
          <w:tcPr>
            <w:tcW w:w="992" w:type="dxa"/>
            <w:vAlign w:val="center"/>
          </w:tcPr>
          <w:p w:rsidR="007F2993" w:rsidRPr="00037D1B" w:rsidRDefault="00EC0840" w:rsidP="00877B5F">
            <w:pPr>
              <w:jc w:val="center"/>
              <w:rPr>
                <w:b/>
                <w:sz w:val="22"/>
                <w:szCs w:val="22"/>
              </w:rPr>
            </w:pPr>
            <w:r>
              <w:rPr>
                <w:b/>
                <w:sz w:val="22"/>
                <w:szCs w:val="22"/>
              </w:rPr>
              <w:t>21011,5</w:t>
            </w:r>
          </w:p>
        </w:tc>
        <w:tc>
          <w:tcPr>
            <w:tcW w:w="794" w:type="dxa"/>
            <w:vAlign w:val="center"/>
          </w:tcPr>
          <w:p w:rsidR="007F2993" w:rsidRPr="00037D1B" w:rsidRDefault="007F2993" w:rsidP="00877B5F">
            <w:pPr>
              <w:jc w:val="center"/>
              <w:rPr>
                <w:b/>
                <w:sz w:val="22"/>
                <w:szCs w:val="22"/>
              </w:rPr>
            </w:pPr>
            <w:r w:rsidRPr="00037D1B">
              <w:rPr>
                <w:b/>
                <w:sz w:val="22"/>
                <w:szCs w:val="22"/>
              </w:rPr>
              <w:t>100%</w:t>
            </w:r>
          </w:p>
        </w:tc>
        <w:tc>
          <w:tcPr>
            <w:tcW w:w="794" w:type="dxa"/>
            <w:vAlign w:val="center"/>
          </w:tcPr>
          <w:p w:rsidR="007F2993" w:rsidRPr="00037D1B" w:rsidRDefault="007F2993" w:rsidP="00877B5F">
            <w:pPr>
              <w:jc w:val="center"/>
              <w:rPr>
                <w:b/>
                <w:sz w:val="22"/>
                <w:szCs w:val="22"/>
              </w:rPr>
            </w:pPr>
            <w:r w:rsidRPr="00037D1B">
              <w:rPr>
                <w:b/>
                <w:sz w:val="22"/>
                <w:szCs w:val="22"/>
              </w:rPr>
              <w:t>100%</w:t>
            </w:r>
          </w:p>
        </w:tc>
        <w:tc>
          <w:tcPr>
            <w:tcW w:w="794" w:type="dxa"/>
            <w:vAlign w:val="center"/>
          </w:tcPr>
          <w:p w:rsidR="007F2993" w:rsidRPr="00037D1B" w:rsidRDefault="007F2993" w:rsidP="00877B5F">
            <w:pPr>
              <w:jc w:val="center"/>
              <w:rPr>
                <w:b/>
                <w:sz w:val="22"/>
                <w:szCs w:val="22"/>
              </w:rPr>
            </w:pPr>
            <w:r w:rsidRPr="00037D1B">
              <w:rPr>
                <w:b/>
                <w:sz w:val="22"/>
                <w:szCs w:val="22"/>
              </w:rPr>
              <w:t>100%</w:t>
            </w:r>
          </w:p>
        </w:tc>
        <w:tc>
          <w:tcPr>
            <w:tcW w:w="1329" w:type="dxa"/>
            <w:vAlign w:val="center"/>
          </w:tcPr>
          <w:p w:rsidR="007F2993" w:rsidRPr="005009AF" w:rsidRDefault="007F2993" w:rsidP="000A5EE6">
            <w:pPr>
              <w:jc w:val="center"/>
              <w:rPr>
                <w:b/>
                <w:sz w:val="20"/>
                <w:szCs w:val="20"/>
              </w:rPr>
            </w:pPr>
            <w:r w:rsidRPr="005009AF">
              <w:rPr>
                <w:b/>
                <w:sz w:val="20"/>
                <w:szCs w:val="20"/>
              </w:rPr>
              <w:t>1790,6 / 15,6%</w:t>
            </w:r>
          </w:p>
        </w:tc>
        <w:tc>
          <w:tcPr>
            <w:tcW w:w="1275" w:type="dxa"/>
            <w:vAlign w:val="center"/>
          </w:tcPr>
          <w:p w:rsidR="007F2993" w:rsidRPr="005009AF" w:rsidRDefault="00EC0840" w:rsidP="00EC5468">
            <w:pPr>
              <w:jc w:val="center"/>
              <w:rPr>
                <w:b/>
                <w:sz w:val="20"/>
                <w:szCs w:val="20"/>
              </w:rPr>
            </w:pPr>
            <w:r w:rsidRPr="005009AF">
              <w:rPr>
                <w:b/>
                <w:sz w:val="20"/>
                <w:szCs w:val="20"/>
              </w:rPr>
              <w:t>7717,5 / 58,1%</w:t>
            </w:r>
          </w:p>
        </w:tc>
      </w:tr>
    </w:tbl>
    <w:p w:rsidR="005F6890" w:rsidRPr="0029403D" w:rsidRDefault="006546A7" w:rsidP="00D572EE">
      <w:pPr>
        <w:pStyle w:val="1"/>
      </w:pPr>
      <w:r w:rsidRPr="0029403D">
        <w:lastRenderedPageBreak/>
        <w:t>5</w:t>
      </w:r>
      <w:r w:rsidR="00765A98" w:rsidRPr="0029403D">
        <w:t>. </w:t>
      </w:r>
      <w:r w:rsidR="005F6890" w:rsidRPr="0029403D">
        <w:t xml:space="preserve">Анализ </w:t>
      </w:r>
      <w:r w:rsidR="00287802" w:rsidRPr="0029403D">
        <w:t>исполнения</w:t>
      </w:r>
      <w:r w:rsidR="005F6890" w:rsidRPr="0029403D">
        <w:t xml:space="preserve"> расходов </w:t>
      </w:r>
      <w:r w:rsidR="00882C08" w:rsidRPr="0029403D">
        <w:t>местного бюджета</w:t>
      </w:r>
    </w:p>
    <w:p w:rsidR="00A3799B" w:rsidRDefault="00A3799B" w:rsidP="00A3799B">
      <w:pPr>
        <w:ind w:firstLine="567"/>
        <w:jc w:val="both"/>
      </w:pPr>
      <w:r w:rsidRPr="004E49FA">
        <w:t xml:space="preserve">Местный бюджет на </w:t>
      </w:r>
      <w:r>
        <w:t>2014</w:t>
      </w:r>
      <w:r w:rsidRPr="004E49FA">
        <w:t xml:space="preserve"> год по </w:t>
      </w:r>
      <w:r>
        <w:t>рас</w:t>
      </w:r>
      <w:r w:rsidRPr="004E49FA">
        <w:t xml:space="preserve">ходам в объёме </w:t>
      </w:r>
      <w:r>
        <w:t>13480,2</w:t>
      </w:r>
      <w:r w:rsidRPr="004E49FA">
        <w:t xml:space="preserve"> тыс. руб. утверждён реш</w:t>
      </w:r>
      <w:r w:rsidRPr="004E49FA">
        <w:t>е</w:t>
      </w:r>
      <w:r w:rsidRPr="004E49FA">
        <w:t xml:space="preserve">нием </w:t>
      </w:r>
      <w:r>
        <w:t>28</w:t>
      </w:r>
      <w:r w:rsidRPr="004E49FA">
        <w:t xml:space="preserve"> сессии 4 созыва Совета депутатов </w:t>
      </w:r>
      <w:r>
        <w:t>Беркутов</w:t>
      </w:r>
      <w:r w:rsidRPr="004E49FA">
        <w:t>ского сельсовета Каргатского района Н</w:t>
      </w:r>
      <w:r w:rsidRPr="004E49FA">
        <w:t>о</w:t>
      </w:r>
      <w:r w:rsidRPr="004E49FA">
        <w:t>восибирской области о</w:t>
      </w:r>
      <w:r>
        <w:t>т</w:t>
      </w:r>
      <w:r w:rsidRPr="004E49FA">
        <w:t xml:space="preserve"> </w:t>
      </w:r>
      <w:r>
        <w:t>24</w:t>
      </w:r>
      <w:r w:rsidRPr="004E49FA">
        <w:t>.12.</w:t>
      </w:r>
      <w:r>
        <w:t>2013</w:t>
      </w:r>
      <w:r w:rsidRPr="004E49FA">
        <w:t xml:space="preserve"> № </w:t>
      </w:r>
      <w:r>
        <w:t>144</w:t>
      </w:r>
      <w:r w:rsidRPr="00816F79">
        <w:t xml:space="preserve">. </w:t>
      </w:r>
    </w:p>
    <w:p w:rsidR="00A3799B" w:rsidRPr="00816F79" w:rsidRDefault="00A3799B" w:rsidP="00A3799B">
      <w:pPr>
        <w:spacing w:before="60"/>
        <w:ind w:firstLine="567"/>
        <w:jc w:val="both"/>
      </w:pPr>
      <w:r w:rsidRPr="00AF4B49">
        <w:t xml:space="preserve">Решениями от </w:t>
      </w:r>
      <w:r>
        <w:t>26</w:t>
      </w:r>
      <w:r w:rsidRPr="00AF4B49">
        <w:t>.</w:t>
      </w:r>
      <w:r>
        <w:t>03</w:t>
      </w:r>
      <w:r w:rsidRPr="00AF4B49">
        <w:t>.</w:t>
      </w:r>
      <w:r>
        <w:t>2014</w:t>
      </w:r>
      <w:r w:rsidRPr="00AF4B49">
        <w:t xml:space="preserve"> № </w:t>
      </w:r>
      <w:r>
        <w:t>156</w:t>
      </w:r>
      <w:r w:rsidRPr="00AF4B49">
        <w:t xml:space="preserve">, от </w:t>
      </w:r>
      <w:r>
        <w:t>14</w:t>
      </w:r>
      <w:r w:rsidRPr="00AF4B49">
        <w:t>.0</w:t>
      </w:r>
      <w:r>
        <w:t>8</w:t>
      </w:r>
      <w:r w:rsidRPr="00AF4B49">
        <w:t>.</w:t>
      </w:r>
      <w:r>
        <w:t>2014</w:t>
      </w:r>
      <w:r w:rsidRPr="00AF4B49">
        <w:t xml:space="preserve"> № </w:t>
      </w:r>
      <w:r>
        <w:t>169</w:t>
      </w:r>
      <w:r w:rsidRPr="00AF4B49">
        <w:t xml:space="preserve">, от </w:t>
      </w:r>
      <w:r>
        <w:t>23</w:t>
      </w:r>
      <w:r w:rsidRPr="00AF4B49">
        <w:t>.12.</w:t>
      </w:r>
      <w:r>
        <w:t>2014</w:t>
      </w:r>
      <w:r w:rsidRPr="00AF4B49">
        <w:t xml:space="preserve"> № </w:t>
      </w:r>
      <w:r>
        <w:t>180</w:t>
      </w:r>
      <w:r w:rsidRPr="00AF4B49">
        <w:t xml:space="preserve"> были внес</w:t>
      </w:r>
      <w:r w:rsidRPr="00AF4B49">
        <w:t>е</w:t>
      </w:r>
      <w:r w:rsidRPr="00AF4B49">
        <w:t>ны изме</w:t>
      </w:r>
      <w:r>
        <w:t>нения в плановые назначения по рас</w:t>
      </w:r>
      <w:r w:rsidRPr="00AF4B49">
        <w:t xml:space="preserve">ходам. По итогам </w:t>
      </w:r>
      <w:r>
        <w:t xml:space="preserve">всех </w:t>
      </w:r>
      <w:r w:rsidRPr="00AF4B49">
        <w:t xml:space="preserve">внесённых изменений уточнённый объём </w:t>
      </w:r>
      <w:r>
        <w:t>рас</w:t>
      </w:r>
      <w:r w:rsidRPr="00AF4B49">
        <w:t>ходов</w:t>
      </w:r>
      <w:r>
        <w:t xml:space="preserve"> составляет 23486,3 тыс. руб., что соответствует общему объёму</w:t>
      </w:r>
      <w:r w:rsidRPr="00816F79">
        <w:t xml:space="preserve"> </w:t>
      </w:r>
      <w:r>
        <w:t>рас</w:t>
      </w:r>
      <w:r w:rsidRPr="00816F79">
        <w:t>ход</w:t>
      </w:r>
      <w:r>
        <w:t>ов</w:t>
      </w:r>
      <w:r w:rsidRPr="00816F79">
        <w:t xml:space="preserve"> </w:t>
      </w:r>
      <w:r>
        <w:t>в отчёте об исполнении местного бюджета за 2014 год.</w:t>
      </w:r>
    </w:p>
    <w:p w:rsidR="00DB1053" w:rsidRPr="0029403D" w:rsidRDefault="00DB1053" w:rsidP="008723B0">
      <w:pPr>
        <w:spacing w:before="60"/>
        <w:ind w:firstLine="567"/>
        <w:jc w:val="both"/>
      </w:pPr>
      <w:r w:rsidRPr="0029403D">
        <w:t xml:space="preserve">Исполнение местного бюджета по расходам за </w:t>
      </w:r>
      <w:r w:rsidR="007F2993">
        <w:t>2014</w:t>
      </w:r>
      <w:r w:rsidRPr="0029403D">
        <w:t xml:space="preserve"> год составило </w:t>
      </w:r>
      <w:r w:rsidR="000A5EE6">
        <w:t>22349,9</w:t>
      </w:r>
      <w:r w:rsidRPr="0029403D">
        <w:t xml:space="preserve"> тыс. </w:t>
      </w:r>
      <w:r w:rsidR="00CA485C" w:rsidRPr="0029403D">
        <w:t>руб.</w:t>
      </w:r>
      <w:r w:rsidRPr="0029403D">
        <w:t xml:space="preserve"> или </w:t>
      </w:r>
      <w:r w:rsidR="000A5EE6">
        <w:t>95,2</w:t>
      </w:r>
      <w:r w:rsidRPr="0029403D">
        <w:t>% к плану</w:t>
      </w:r>
      <w:r w:rsidR="00667AE3">
        <w:t xml:space="preserve"> </w:t>
      </w:r>
      <w:r w:rsidR="00667AE3" w:rsidRPr="0029403D">
        <w:t>(</w:t>
      </w:r>
      <w:r w:rsidR="00D01A8F">
        <w:t>недоисполнение</w:t>
      </w:r>
      <w:r w:rsidR="00667AE3" w:rsidRPr="0029403D">
        <w:t xml:space="preserve"> – </w:t>
      </w:r>
      <w:r w:rsidR="000A5EE6">
        <w:t>1136,4</w:t>
      </w:r>
      <w:r w:rsidR="00667AE3" w:rsidRPr="0029403D">
        <w:t xml:space="preserve"> тыс. руб.)</w:t>
      </w:r>
      <w:r w:rsidRPr="0029403D">
        <w:t>.</w:t>
      </w:r>
    </w:p>
    <w:p w:rsidR="0000595F" w:rsidRDefault="00C62F03" w:rsidP="00EC0840">
      <w:pPr>
        <w:spacing w:before="60"/>
        <w:ind w:firstLine="567"/>
        <w:jc w:val="both"/>
        <w:rPr>
          <w:sz w:val="22"/>
          <w:szCs w:val="22"/>
        </w:rPr>
      </w:pPr>
      <w:r w:rsidRPr="0029403D">
        <w:t xml:space="preserve">Информация о структуре и динамике расходов </w:t>
      </w:r>
      <w:r w:rsidR="00882C08" w:rsidRPr="0029403D">
        <w:t>местного бюджета</w:t>
      </w:r>
      <w:r w:rsidRPr="0029403D">
        <w:t xml:space="preserve"> в </w:t>
      </w:r>
      <w:r w:rsidR="007F2993">
        <w:t>2012</w:t>
      </w:r>
      <w:r w:rsidR="00D912C8" w:rsidRPr="0029403D">
        <w:t>-</w:t>
      </w:r>
      <w:r w:rsidR="007F2993">
        <w:t>2014</w:t>
      </w:r>
      <w:r w:rsidR="00D912C8" w:rsidRPr="0029403D">
        <w:t xml:space="preserve"> годах</w:t>
      </w:r>
      <w:r w:rsidRPr="0029403D">
        <w:t xml:space="preserve"> представлена в </w:t>
      </w:r>
      <w:r w:rsidR="00D912C8" w:rsidRPr="0029403D">
        <w:t xml:space="preserve">таблице </w:t>
      </w:r>
      <w:r w:rsidR="00B06BE2">
        <w:t>4</w:t>
      </w:r>
      <w:r w:rsidRPr="0029403D">
        <w:t>.</w:t>
      </w:r>
    </w:p>
    <w:p w:rsidR="00D912C8" w:rsidRPr="0029403D" w:rsidRDefault="00D912C8" w:rsidP="00C4031D">
      <w:pPr>
        <w:spacing w:before="120" w:after="120"/>
        <w:ind w:firstLine="567"/>
        <w:jc w:val="center"/>
        <w:rPr>
          <w:sz w:val="22"/>
          <w:szCs w:val="22"/>
        </w:rPr>
      </w:pPr>
      <w:r w:rsidRPr="0029403D">
        <w:rPr>
          <w:sz w:val="22"/>
          <w:szCs w:val="22"/>
        </w:rPr>
        <w:t xml:space="preserve">Таблица </w:t>
      </w:r>
      <w:r w:rsidR="00B06BE2">
        <w:rPr>
          <w:sz w:val="22"/>
          <w:szCs w:val="22"/>
        </w:rPr>
        <w:t>4</w:t>
      </w:r>
      <w:r w:rsidRPr="0029403D">
        <w:rPr>
          <w:sz w:val="22"/>
          <w:szCs w:val="22"/>
        </w:rPr>
        <w:t>. Анализ структуры расходов местного бюджета, тыс. руб.</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964"/>
        <w:gridCol w:w="964"/>
        <w:gridCol w:w="964"/>
        <w:gridCol w:w="794"/>
        <w:gridCol w:w="794"/>
        <w:gridCol w:w="794"/>
        <w:gridCol w:w="1134"/>
        <w:gridCol w:w="1134"/>
      </w:tblGrid>
      <w:tr w:rsidR="004B6B0C" w:rsidRPr="0029403D" w:rsidTr="00763EE9">
        <w:trPr>
          <w:trHeight w:val="250"/>
        </w:trPr>
        <w:tc>
          <w:tcPr>
            <w:tcW w:w="2235" w:type="dxa"/>
            <w:vMerge w:val="restart"/>
          </w:tcPr>
          <w:p w:rsidR="004B6B0C" w:rsidRPr="0029403D" w:rsidRDefault="004B6B0C" w:rsidP="00763EE9">
            <w:pPr>
              <w:spacing w:before="120"/>
              <w:jc w:val="center"/>
              <w:rPr>
                <w:i/>
                <w:sz w:val="20"/>
                <w:szCs w:val="20"/>
              </w:rPr>
            </w:pPr>
            <w:r w:rsidRPr="0029403D">
              <w:rPr>
                <w:i/>
                <w:sz w:val="20"/>
                <w:szCs w:val="20"/>
              </w:rPr>
              <w:t>Наименование статей расходов</w:t>
            </w:r>
          </w:p>
        </w:tc>
        <w:tc>
          <w:tcPr>
            <w:tcW w:w="2892" w:type="dxa"/>
            <w:gridSpan w:val="3"/>
            <w:vAlign w:val="center"/>
          </w:tcPr>
          <w:p w:rsidR="004B6B0C" w:rsidRPr="0029403D" w:rsidRDefault="004B6B0C" w:rsidP="002E14C6">
            <w:pPr>
              <w:jc w:val="center"/>
              <w:rPr>
                <w:i/>
                <w:sz w:val="20"/>
                <w:szCs w:val="20"/>
              </w:rPr>
            </w:pPr>
            <w:r w:rsidRPr="0029403D">
              <w:rPr>
                <w:i/>
                <w:sz w:val="20"/>
                <w:szCs w:val="20"/>
              </w:rPr>
              <w:t>Исполнение бюджета</w:t>
            </w:r>
          </w:p>
        </w:tc>
        <w:tc>
          <w:tcPr>
            <w:tcW w:w="2382" w:type="dxa"/>
            <w:gridSpan w:val="3"/>
          </w:tcPr>
          <w:p w:rsidR="004B6B0C" w:rsidRPr="0029403D" w:rsidRDefault="004B6B0C" w:rsidP="002E14C6">
            <w:pPr>
              <w:jc w:val="center"/>
              <w:rPr>
                <w:i/>
                <w:sz w:val="20"/>
                <w:szCs w:val="20"/>
              </w:rPr>
            </w:pPr>
            <w:r w:rsidRPr="0029403D">
              <w:rPr>
                <w:i/>
                <w:sz w:val="20"/>
                <w:szCs w:val="20"/>
              </w:rPr>
              <w:t>Доля в общих расходах</w:t>
            </w:r>
          </w:p>
        </w:tc>
        <w:tc>
          <w:tcPr>
            <w:tcW w:w="2268" w:type="dxa"/>
            <w:gridSpan w:val="2"/>
            <w:vAlign w:val="center"/>
          </w:tcPr>
          <w:p w:rsidR="004B6B0C" w:rsidRPr="0029403D" w:rsidRDefault="004B6B0C" w:rsidP="00763EE9">
            <w:pPr>
              <w:jc w:val="center"/>
              <w:rPr>
                <w:i/>
                <w:sz w:val="20"/>
                <w:szCs w:val="20"/>
              </w:rPr>
            </w:pPr>
            <w:r w:rsidRPr="0029403D">
              <w:rPr>
                <w:i/>
                <w:sz w:val="20"/>
                <w:szCs w:val="20"/>
              </w:rPr>
              <w:t>Абсолютный прирост (тыс. руб./проценты)</w:t>
            </w:r>
          </w:p>
        </w:tc>
      </w:tr>
      <w:tr w:rsidR="004B6B0C" w:rsidRPr="0029403D" w:rsidTr="00763EE9">
        <w:trPr>
          <w:trHeight w:val="250"/>
        </w:trPr>
        <w:tc>
          <w:tcPr>
            <w:tcW w:w="2235" w:type="dxa"/>
            <w:vMerge/>
          </w:tcPr>
          <w:p w:rsidR="004B6B0C" w:rsidRPr="0029403D" w:rsidRDefault="004B6B0C" w:rsidP="002E14C6">
            <w:pPr>
              <w:jc w:val="center"/>
              <w:rPr>
                <w:i/>
                <w:sz w:val="20"/>
                <w:szCs w:val="20"/>
              </w:rPr>
            </w:pPr>
          </w:p>
        </w:tc>
        <w:tc>
          <w:tcPr>
            <w:tcW w:w="964" w:type="dxa"/>
          </w:tcPr>
          <w:p w:rsidR="004B6B0C" w:rsidRPr="0029403D" w:rsidRDefault="007F2993" w:rsidP="00494098">
            <w:pPr>
              <w:spacing w:before="20"/>
              <w:jc w:val="center"/>
              <w:rPr>
                <w:i/>
                <w:sz w:val="20"/>
                <w:szCs w:val="20"/>
              </w:rPr>
            </w:pPr>
            <w:r>
              <w:rPr>
                <w:i/>
                <w:sz w:val="20"/>
                <w:szCs w:val="20"/>
              </w:rPr>
              <w:t>2012</w:t>
            </w:r>
          </w:p>
        </w:tc>
        <w:tc>
          <w:tcPr>
            <w:tcW w:w="964" w:type="dxa"/>
          </w:tcPr>
          <w:p w:rsidR="004B6B0C" w:rsidRPr="0029403D" w:rsidRDefault="007F2993" w:rsidP="00494098">
            <w:pPr>
              <w:spacing w:before="20"/>
              <w:jc w:val="center"/>
              <w:rPr>
                <w:i/>
                <w:sz w:val="20"/>
                <w:szCs w:val="20"/>
              </w:rPr>
            </w:pPr>
            <w:r>
              <w:rPr>
                <w:i/>
                <w:sz w:val="20"/>
                <w:szCs w:val="20"/>
              </w:rPr>
              <w:t>2013</w:t>
            </w:r>
          </w:p>
        </w:tc>
        <w:tc>
          <w:tcPr>
            <w:tcW w:w="964" w:type="dxa"/>
          </w:tcPr>
          <w:p w:rsidR="004B6B0C" w:rsidRPr="0029403D" w:rsidRDefault="007F2993" w:rsidP="00494098">
            <w:pPr>
              <w:spacing w:before="20"/>
              <w:jc w:val="center"/>
              <w:rPr>
                <w:i/>
                <w:sz w:val="20"/>
                <w:szCs w:val="20"/>
              </w:rPr>
            </w:pPr>
            <w:r>
              <w:rPr>
                <w:i/>
                <w:sz w:val="20"/>
                <w:szCs w:val="20"/>
              </w:rPr>
              <w:t>2014</w:t>
            </w:r>
          </w:p>
        </w:tc>
        <w:tc>
          <w:tcPr>
            <w:tcW w:w="794" w:type="dxa"/>
          </w:tcPr>
          <w:p w:rsidR="004B6B0C" w:rsidRPr="0029403D" w:rsidRDefault="007F2993" w:rsidP="002E14C6">
            <w:pPr>
              <w:spacing w:before="20"/>
              <w:jc w:val="center"/>
              <w:rPr>
                <w:i/>
                <w:sz w:val="20"/>
                <w:szCs w:val="20"/>
              </w:rPr>
            </w:pPr>
            <w:r>
              <w:rPr>
                <w:i/>
                <w:sz w:val="20"/>
                <w:szCs w:val="20"/>
              </w:rPr>
              <w:t>2012</w:t>
            </w:r>
          </w:p>
        </w:tc>
        <w:tc>
          <w:tcPr>
            <w:tcW w:w="794" w:type="dxa"/>
          </w:tcPr>
          <w:p w:rsidR="004B6B0C" w:rsidRPr="0029403D" w:rsidRDefault="007F2993" w:rsidP="002E14C6">
            <w:pPr>
              <w:spacing w:before="20"/>
              <w:jc w:val="center"/>
              <w:rPr>
                <w:i/>
                <w:sz w:val="20"/>
                <w:szCs w:val="20"/>
              </w:rPr>
            </w:pPr>
            <w:r>
              <w:rPr>
                <w:i/>
                <w:sz w:val="20"/>
                <w:szCs w:val="20"/>
              </w:rPr>
              <w:t>2013</w:t>
            </w:r>
          </w:p>
        </w:tc>
        <w:tc>
          <w:tcPr>
            <w:tcW w:w="794" w:type="dxa"/>
          </w:tcPr>
          <w:p w:rsidR="004B6B0C" w:rsidRPr="0029403D" w:rsidRDefault="007F2993" w:rsidP="002E14C6">
            <w:pPr>
              <w:spacing w:before="20"/>
              <w:jc w:val="center"/>
              <w:rPr>
                <w:i/>
                <w:sz w:val="20"/>
                <w:szCs w:val="20"/>
              </w:rPr>
            </w:pPr>
            <w:r>
              <w:rPr>
                <w:i/>
                <w:sz w:val="20"/>
                <w:szCs w:val="20"/>
              </w:rPr>
              <w:t>2014</w:t>
            </w:r>
          </w:p>
        </w:tc>
        <w:tc>
          <w:tcPr>
            <w:tcW w:w="1134" w:type="dxa"/>
          </w:tcPr>
          <w:p w:rsidR="004B6B0C" w:rsidRPr="007F2993" w:rsidRDefault="007F2993" w:rsidP="002E14C6">
            <w:pPr>
              <w:spacing w:before="20"/>
              <w:jc w:val="center"/>
              <w:rPr>
                <w:i/>
                <w:spacing w:val="-8"/>
                <w:sz w:val="20"/>
                <w:szCs w:val="20"/>
              </w:rPr>
            </w:pPr>
            <w:r w:rsidRPr="007F2993">
              <w:rPr>
                <w:i/>
                <w:spacing w:val="-8"/>
                <w:sz w:val="20"/>
                <w:szCs w:val="20"/>
              </w:rPr>
              <w:t>2013</w:t>
            </w:r>
            <w:r w:rsidR="00763EE9" w:rsidRPr="007F2993">
              <w:rPr>
                <w:i/>
                <w:spacing w:val="-8"/>
                <w:sz w:val="20"/>
                <w:szCs w:val="20"/>
              </w:rPr>
              <w:t xml:space="preserve"> к </w:t>
            </w:r>
            <w:r w:rsidRPr="007F2993">
              <w:rPr>
                <w:i/>
                <w:spacing w:val="-8"/>
                <w:sz w:val="20"/>
                <w:szCs w:val="20"/>
              </w:rPr>
              <w:t>2012</w:t>
            </w:r>
          </w:p>
        </w:tc>
        <w:tc>
          <w:tcPr>
            <w:tcW w:w="1134" w:type="dxa"/>
          </w:tcPr>
          <w:p w:rsidR="004B6B0C" w:rsidRPr="007F2993" w:rsidRDefault="007F2993" w:rsidP="002E14C6">
            <w:pPr>
              <w:spacing w:before="20"/>
              <w:jc w:val="center"/>
              <w:rPr>
                <w:i/>
                <w:spacing w:val="-8"/>
                <w:sz w:val="20"/>
                <w:szCs w:val="20"/>
              </w:rPr>
            </w:pPr>
            <w:r w:rsidRPr="007F2993">
              <w:rPr>
                <w:i/>
                <w:spacing w:val="-8"/>
                <w:sz w:val="20"/>
                <w:szCs w:val="20"/>
              </w:rPr>
              <w:t>2014</w:t>
            </w:r>
            <w:r w:rsidR="00763EE9" w:rsidRPr="007F2993">
              <w:rPr>
                <w:i/>
                <w:spacing w:val="-8"/>
                <w:sz w:val="20"/>
                <w:szCs w:val="20"/>
              </w:rPr>
              <w:t xml:space="preserve"> к </w:t>
            </w:r>
            <w:r w:rsidRPr="007F2993">
              <w:rPr>
                <w:i/>
                <w:spacing w:val="-8"/>
                <w:sz w:val="20"/>
                <w:szCs w:val="20"/>
              </w:rPr>
              <w:t>2013</w:t>
            </w:r>
          </w:p>
        </w:tc>
      </w:tr>
      <w:tr w:rsidR="007F2993" w:rsidRPr="0029403D" w:rsidTr="00763EE9">
        <w:tc>
          <w:tcPr>
            <w:tcW w:w="2235" w:type="dxa"/>
            <w:vAlign w:val="center"/>
          </w:tcPr>
          <w:p w:rsidR="007F2993" w:rsidRPr="00037D1B" w:rsidRDefault="007F2993" w:rsidP="002E14C6">
            <w:pPr>
              <w:rPr>
                <w:sz w:val="22"/>
                <w:szCs w:val="22"/>
              </w:rPr>
            </w:pPr>
            <w:r w:rsidRPr="00037D1B">
              <w:rPr>
                <w:sz w:val="22"/>
                <w:szCs w:val="22"/>
              </w:rPr>
              <w:t>Общегосударстве</w:t>
            </w:r>
            <w:r w:rsidRPr="00037D1B">
              <w:rPr>
                <w:sz w:val="22"/>
                <w:szCs w:val="22"/>
              </w:rPr>
              <w:t>н</w:t>
            </w:r>
            <w:r w:rsidRPr="00037D1B">
              <w:rPr>
                <w:sz w:val="22"/>
                <w:szCs w:val="22"/>
              </w:rPr>
              <w:t>ные вопросы</w:t>
            </w:r>
          </w:p>
        </w:tc>
        <w:tc>
          <w:tcPr>
            <w:tcW w:w="964" w:type="dxa"/>
            <w:vAlign w:val="center"/>
          </w:tcPr>
          <w:p w:rsidR="007F2993" w:rsidRPr="00763EE9" w:rsidRDefault="007F2993" w:rsidP="000A5EE6">
            <w:pPr>
              <w:jc w:val="center"/>
              <w:rPr>
                <w:sz w:val="22"/>
                <w:szCs w:val="22"/>
              </w:rPr>
            </w:pPr>
            <w:r w:rsidRPr="00763EE9">
              <w:rPr>
                <w:sz w:val="22"/>
                <w:szCs w:val="22"/>
              </w:rPr>
              <w:t>2220,7</w:t>
            </w:r>
          </w:p>
        </w:tc>
        <w:tc>
          <w:tcPr>
            <w:tcW w:w="964" w:type="dxa"/>
            <w:vAlign w:val="center"/>
          </w:tcPr>
          <w:p w:rsidR="007F2993" w:rsidRPr="00763EE9" w:rsidRDefault="007F2993" w:rsidP="000A5EE6">
            <w:pPr>
              <w:jc w:val="center"/>
              <w:rPr>
                <w:sz w:val="22"/>
                <w:szCs w:val="22"/>
              </w:rPr>
            </w:pPr>
            <w:r w:rsidRPr="00763EE9">
              <w:rPr>
                <w:sz w:val="22"/>
                <w:szCs w:val="22"/>
              </w:rPr>
              <w:t>3332,6</w:t>
            </w:r>
          </w:p>
        </w:tc>
        <w:tc>
          <w:tcPr>
            <w:tcW w:w="964" w:type="dxa"/>
            <w:vAlign w:val="center"/>
          </w:tcPr>
          <w:p w:rsidR="007F2993" w:rsidRPr="00763EE9" w:rsidRDefault="00F0508A" w:rsidP="00381832">
            <w:pPr>
              <w:jc w:val="center"/>
              <w:rPr>
                <w:sz w:val="22"/>
                <w:szCs w:val="22"/>
              </w:rPr>
            </w:pPr>
            <w:r>
              <w:rPr>
                <w:sz w:val="22"/>
                <w:szCs w:val="22"/>
              </w:rPr>
              <w:t>3013,0</w:t>
            </w:r>
          </w:p>
        </w:tc>
        <w:tc>
          <w:tcPr>
            <w:tcW w:w="794" w:type="dxa"/>
          </w:tcPr>
          <w:p w:rsidR="007F2993" w:rsidRPr="00763EE9" w:rsidRDefault="007F2993" w:rsidP="000A5EE6">
            <w:pPr>
              <w:spacing w:before="120"/>
              <w:jc w:val="center"/>
              <w:rPr>
                <w:sz w:val="22"/>
                <w:szCs w:val="22"/>
              </w:rPr>
            </w:pPr>
            <w:r w:rsidRPr="00763EE9">
              <w:rPr>
                <w:sz w:val="22"/>
                <w:szCs w:val="22"/>
              </w:rPr>
              <w:t>18,0%</w:t>
            </w:r>
          </w:p>
        </w:tc>
        <w:tc>
          <w:tcPr>
            <w:tcW w:w="794" w:type="dxa"/>
          </w:tcPr>
          <w:p w:rsidR="007F2993" w:rsidRPr="00763EE9" w:rsidRDefault="007F2993" w:rsidP="000A5EE6">
            <w:pPr>
              <w:spacing w:before="120"/>
              <w:jc w:val="center"/>
              <w:rPr>
                <w:sz w:val="22"/>
                <w:szCs w:val="22"/>
              </w:rPr>
            </w:pPr>
            <w:r w:rsidRPr="00763EE9">
              <w:rPr>
                <w:sz w:val="22"/>
                <w:szCs w:val="22"/>
              </w:rPr>
              <w:t>23,4%</w:t>
            </w:r>
          </w:p>
        </w:tc>
        <w:tc>
          <w:tcPr>
            <w:tcW w:w="794" w:type="dxa"/>
          </w:tcPr>
          <w:p w:rsidR="007F2993" w:rsidRPr="00763EE9" w:rsidRDefault="00F0508A" w:rsidP="003D7C34">
            <w:pPr>
              <w:spacing w:before="120"/>
              <w:jc w:val="center"/>
              <w:rPr>
                <w:sz w:val="22"/>
                <w:szCs w:val="22"/>
              </w:rPr>
            </w:pPr>
            <w:r>
              <w:rPr>
                <w:sz w:val="22"/>
                <w:szCs w:val="22"/>
              </w:rPr>
              <w:t>13,5%</w:t>
            </w:r>
          </w:p>
        </w:tc>
        <w:tc>
          <w:tcPr>
            <w:tcW w:w="1134" w:type="dxa"/>
            <w:vAlign w:val="center"/>
          </w:tcPr>
          <w:p w:rsidR="007F2993" w:rsidRPr="00763EE9" w:rsidRDefault="007F2993" w:rsidP="000A5EE6">
            <w:pPr>
              <w:jc w:val="center"/>
              <w:rPr>
                <w:sz w:val="22"/>
                <w:szCs w:val="22"/>
              </w:rPr>
            </w:pPr>
            <w:r>
              <w:rPr>
                <w:sz w:val="22"/>
                <w:szCs w:val="22"/>
              </w:rPr>
              <w:t>1111,9 / 50,1%</w:t>
            </w:r>
          </w:p>
        </w:tc>
        <w:tc>
          <w:tcPr>
            <w:tcW w:w="1134" w:type="dxa"/>
            <w:vAlign w:val="center"/>
          </w:tcPr>
          <w:p w:rsidR="007F2993" w:rsidRDefault="00F0508A" w:rsidP="004A5F95">
            <w:pPr>
              <w:jc w:val="center"/>
              <w:rPr>
                <w:sz w:val="22"/>
                <w:szCs w:val="22"/>
              </w:rPr>
            </w:pPr>
            <w:r>
              <w:rPr>
                <w:sz w:val="22"/>
                <w:szCs w:val="22"/>
              </w:rPr>
              <w:t xml:space="preserve">-319,6 / </w:t>
            </w:r>
          </w:p>
          <w:p w:rsidR="00F0508A" w:rsidRPr="00763EE9" w:rsidRDefault="00F0508A" w:rsidP="004A5F95">
            <w:pPr>
              <w:jc w:val="center"/>
              <w:rPr>
                <w:sz w:val="22"/>
                <w:szCs w:val="22"/>
              </w:rPr>
            </w:pPr>
            <w:r>
              <w:rPr>
                <w:sz w:val="22"/>
                <w:szCs w:val="22"/>
              </w:rPr>
              <w:t>-9,6%</w:t>
            </w:r>
          </w:p>
        </w:tc>
      </w:tr>
      <w:tr w:rsidR="007F2993" w:rsidRPr="0029403D" w:rsidTr="00763EE9">
        <w:tc>
          <w:tcPr>
            <w:tcW w:w="2235" w:type="dxa"/>
          </w:tcPr>
          <w:p w:rsidR="007F2993" w:rsidRPr="00037D1B" w:rsidRDefault="007F2993" w:rsidP="002E14C6">
            <w:pPr>
              <w:rPr>
                <w:sz w:val="22"/>
                <w:szCs w:val="22"/>
              </w:rPr>
            </w:pPr>
            <w:r w:rsidRPr="00037D1B">
              <w:rPr>
                <w:sz w:val="22"/>
                <w:szCs w:val="22"/>
              </w:rPr>
              <w:t>Национальная об</w:t>
            </w:r>
            <w:r w:rsidRPr="00037D1B">
              <w:rPr>
                <w:sz w:val="22"/>
                <w:szCs w:val="22"/>
              </w:rPr>
              <w:t>о</w:t>
            </w:r>
            <w:r w:rsidRPr="00037D1B">
              <w:rPr>
                <w:sz w:val="22"/>
                <w:szCs w:val="22"/>
              </w:rPr>
              <w:t>рона</w:t>
            </w:r>
          </w:p>
        </w:tc>
        <w:tc>
          <w:tcPr>
            <w:tcW w:w="964" w:type="dxa"/>
            <w:vAlign w:val="center"/>
          </w:tcPr>
          <w:p w:rsidR="007F2993" w:rsidRPr="00763EE9" w:rsidRDefault="007F2993" w:rsidP="000A5EE6">
            <w:pPr>
              <w:jc w:val="center"/>
              <w:rPr>
                <w:sz w:val="22"/>
                <w:szCs w:val="22"/>
              </w:rPr>
            </w:pPr>
            <w:r w:rsidRPr="00763EE9">
              <w:rPr>
                <w:sz w:val="22"/>
                <w:szCs w:val="22"/>
              </w:rPr>
              <w:t>69,0</w:t>
            </w:r>
          </w:p>
        </w:tc>
        <w:tc>
          <w:tcPr>
            <w:tcW w:w="964" w:type="dxa"/>
            <w:vAlign w:val="center"/>
          </w:tcPr>
          <w:p w:rsidR="007F2993" w:rsidRPr="00763EE9" w:rsidRDefault="007F2993" w:rsidP="000A5EE6">
            <w:pPr>
              <w:jc w:val="center"/>
              <w:rPr>
                <w:sz w:val="22"/>
                <w:szCs w:val="22"/>
              </w:rPr>
            </w:pPr>
            <w:r w:rsidRPr="00763EE9">
              <w:rPr>
                <w:sz w:val="22"/>
                <w:szCs w:val="22"/>
              </w:rPr>
              <w:t>66,0</w:t>
            </w:r>
          </w:p>
        </w:tc>
        <w:tc>
          <w:tcPr>
            <w:tcW w:w="964" w:type="dxa"/>
            <w:vAlign w:val="center"/>
          </w:tcPr>
          <w:p w:rsidR="007F2993" w:rsidRPr="00763EE9" w:rsidRDefault="00F0508A" w:rsidP="002E14C6">
            <w:pPr>
              <w:jc w:val="center"/>
              <w:rPr>
                <w:sz w:val="22"/>
                <w:szCs w:val="22"/>
              </w:rPr>
            </w:pPr>
            <w:r>
              <w:rPr>
                <w:sz w:val="22"/>
                <w:szCs w:val="22"/>
              </w:rPr>
              <w:t>72,7</w:t>
            </w:r>
          </w:p>
        </w:tc>
        <w:tc>
          <w:tcPr>
            <w:tcW w:w="794" w:type="dxa"/>
          </w:tcPr>
          <w:p w:rsidR="007F2993" w:rsidRPr="00763EE9" w:rsidRDefault="007F2993" w:rsidP="000A5EE6">
            <w:pPr>
              <w:spacing w:before="120"/>
              <w:jc w:val="center"/>
              <w:rPr>
                <w:sz w:val="22"/>
                <w:szCs w:val="22"/>
              </w:rPr>
            </w:pPr>
            <w:r w:rsidRPr="00763EE9">
              <w:rPr>
                <w:sz w:val="22"/>
                <w:szCs w:val="22"/>
              </w:rPr>
              <w:t>0,6%</w:t>
            </w:r>
          </w:p>
        </w:tc>
        <w:tc>
          <w:tcPr>
            <w:tcW w:w="794" w:type="dxa"/>
          </w:tcPr>
          <w:p w:rsidR="007F2993" w:rsidRPr="00763EE9" w:rsidRDefault="007F2993" w:rsidP="000A5EE6">
            <w:pPr>
              <w:spacing w:before="120"/>
              <w:jc w:val="center"/>
              <w:rPr>
                <w:sz w:val="22"/>
                <w:szCs w:val="22"/>
              </w:rPr>
            </w:pPr>
            <w:r>
              <w:rPr>
                <w:sz w:val="22"/>
                <w:szCs w:val="22"/>
              </w:rPr>
              <w:t>0,5%</w:t>
            </w:r>
          </w:p>
        </w:tc>
        <w:tc>
          <w:tcPr>
            <w:tcW w:w="794" w:type="dxa"/>
          </w:tcPr>
          <w:p w:rsidR="007F2993" w:rsidRPr="00763EE9" w:rsidRDefault="00F0508A" w:rsidP="003D7C34">
            <w:pPr>
              <w:spacing w:before="120"/>
              <w:jc w:val="center"/>
              <w:rPr>
                <w:sz w:val="22"/>
                <w:szCs w:val="22"/>
              </w:rPr>
            </w:pPr>
            <w:r>
              <w:rPr>
                <w:sz w:val="22"/>
                <w:szCs w:val="22"/>
              </w:rPr>
              <w:t>0,3%</w:t>
            </w:r>
          </w:p>
        </w:tc>
        <w:tc>
          <w:tcPr>
            <w:tcW w:w="1134" w:type="dxa"/>
            <w:vAlign w:val="center"/>
          </w:tcPr>
          <w:p w:rsidR="007F2993" w:rsidRDefault="007F2993" w:rsidP="000A5EE6">
            <w:pPr>
              <w:jc w:val="center"/>
              <w:rPr>
                <w:sz w:val="22"/>
                <w:szCs w:val="22"/>
              </w:rPr>
            </w:pPr>
            <w:r>
              <w:rPr>
                <w:sz w:val="22"/>
                <w:szCs w:val="22"/>
              </w:rPr>
              <w:t xml:space="preserve">-3,0 / </w:t>
            </w:r>
          </w:p>
          <w:p w:rsidR="007F2993" w:rsidRPr="00763EE9" w:rsidRDefault="007F2993" w:rsidP="000A5EE6">
            <w:pPr>
              <w:jc w:val="center"/>
              <w:rPr>
                <w:sz w:val="22"/>
                <w:szCs w:val="22"/>
              </w:rPr>
            </w:pPr>
            <w:r>
              <w:rPr>
                <w:sz w:val="22"/>
                <w:szCs w:val="22"/>
              </w:rPr>
              <w:t>-4,3%</w:t>
            </w:r>
          </w:p>
        </w:tc>
        <w:tc>
          <w:tcPr>
            <w:tcW w:w="1134" w:type="dxa"/>
            <w:vAlign w:val="center"/>
          </w:tcPr>
          <w:p w:rsidR="007F2993" w:rsidRPr="00763EE9" w:rsidRDefault="00F0508A" w:rsidP="00CB1448">
            <w:pPr>
              <w:jc w:val="center"/>
              <w:rPr>
                <w:sz w:val="22"/>
                <w:szCs w:val="22"/>
              </w:rPr>
            </w:pPr>
            <w:r>
              <w:rPr>
                <w:sz w:val="22"/>
                <w:szCs w:val="22"/>
              </w:rPr>
              <w:t>6,7 / 10,2%</w:t>
            </w:r>
          </w:p>
        </w:tc>
      </w:tr>
      <w:tr w:rsidR="007F2993" w:rsidRPr="0029403D" w:rsidTr="00763EE9">
        <w:tc>
          <w:tcPr>
            <w:tcW w:w="2235" w:type="dxa"/>
          </w:tcPr>
          <w:p w:rsidR="007F2993" w:rsidRPr="00037D1B" w:rsidRDefault="007F2993" w:rsidP="002E14C6">
            <w:pPr>
              <w:rPr>
                <w:sz w:val="22"/>
                <w:szCs w:val="22"/>
              </w:rPr>
            </w:pPr>
            <w:r w:rsidRPr="00037D1B">
              <w:rPr>
                <w:sz w:val="22"/>
                <w:szCs w:val="22"/>
              </w:rPr>
              <w:t>Национальная бе</w:t>
            </w:r>
            <w:r w:rsidRPr="00037D1B">
              <w:rPr>
                <w:sz w:val="22"/>
                <w:szCs w:val="22"/>
              </w:rPr>
              <w:t>з</w:t>
            </w:r>
            <w:r w:rsidRPr="00037D1B">
              <w:rPr>
                <w:sz w:val="22"/>
                <w:szCs w:val="22"/>
              </w:rPr>
              <w:t>опасность и прав</w:t>
            </w:r>
            <w:r w:rsidRPr="00037D1B">
              <w:rPr>
                <w:sz w:val="22"/>
                <w:szCs w:val="22"/>
              </w:rPr>
              <w:t>о</w:t>
            </w:r>
            <w:r w:rsidRPr="00037D1B">
              <w:rPr>
                <w:sz w:val="22"/>
                <w:szCs w:val="22"/>
              </w:rPr>
              <w:t>охранительная де</w:t>
            </w:r>
            <w:r w:rsidRPr="00037D1B">
              <w:rPr>
                <w:sz w:val="22"/>
                <w:szCs w:val="22"/>
              </w:rPr>
              <w:t>я</w:t>
            </w:r>
            <w:r w:rsidRPr="00037D1B">
              <w:rPr>
                <w:sz w:val="22"/>
                <w:szCs w:val="22"/>
              </w:rPr>
              <w:t>тельность</w:t>
            </w:r>
          </w:p>
        </w:tc>
        <w:tc>
          <w:tcPr>
            <w:tcW w:w="964" w:type="dxa"/>
            <w:vAlign w:val="center"/>
          </w:tcPr>
          <w:p w:rsidR="007F2993" w:rsidRPr="00763EE9" w:rsidRDefault="007F2993" w:rsidP="000A5EE6">
            <w:pPr>
              <w:jc w:val="center"/>
              <w:rPr>
                <w:sz w:val="22"/>
                <w:szCs w:val="22"/>
              </w:rPr>
            </w:pPr>
            <w:r w:rsidRPr="00763EE9">
              <w:rPr>
                <w:sz w:val="22"/>
                <w:szCs w:val="22"/>
              </w:rPr>
              <w:t>80,7</w:t>
            </w:r>
          </w:p>
        </w:tc>
        <w:tc>
          <w:tcPr>
            <w:tcW w:w="964" w:type="dxa"/>
            <w:vAlign w:val="center"/>
          </w:tcPr>
          <w:p w:rsidR="007F2993" w:rsidRPr="00763EE9" w:rsidRDefault="007F2993" w:rsidP="000A5EE6">
            <w:pPr>
              <w:jc w:val="center"/>
              <w:rPr>
                <w:sz w:val="22"/>
                <w:szCs w:val="22"/>
              </w:rPr>
            </w:pPr>
            <w:r w:rsidRPr="00763EE9">
              <w:rPr>
                <w:sz w:val="22"/>
                <w:szCs w:val="22"/>
              </w:rPr>
              <w:t>821,9</w:t>
            </w:r>
          </w:p>
        </w:tc>
        <w:tc>
          <w:tcPr>
            <w:tcW w:w="964" w:type="dxa"/>
            <w:vAlign w:val="center"/>
          </w:tcPr>
          <w:p w:rsidR="007F2993" w:rsidRPr="00763EE9" w:rsidRDefault="00F0508A" w:rsidP="002E14C6">
            <w:pPr>
              <w:jc w:val="center"/>
              <w:rPr>
                <w:sz w:val="22"/>
                <w:szCs w:val="22"/>
              </w:rPr>
            </w:pPr>
            <w:r>
              <w:rPr>
                <w:sz w:val="22"/>
                <w:szCs w:val="22"/>
              </w:rPr>
              <w:t>624,1</w:t>
            </w:r>
          </w:p>
        </w:tc>
        <w:tc>
          <w:tcPr>
            <w:tcW w:w="794" w:type="dxa"/>
          </w:tcPr>
          <w:p w:rsidR="007F2993" w:rsidRPr="00763EE9" w:rsidRDefault="007F2993" w:rsidP="000A5EE6">
            <w:pPr>
              <w:spacing w:before="360"/>
              <w:jc w:val="center"/>
              <w:rPr>
                <w:sz w:val="22"/>
                <w:szCs w:val="22"/>
              </w:rPr>
            </w:pPr>
            <w:r w:rsidRPr="00763EE9">
              <w:rPr>
                <w:sz w:val="22"/>
                <w:szCs w:val="22"/>
              </w:rPr>
              <w:t>0,7%</w:t>
            </w:r>
          </w:p>
        </w:tc>
        <w:tc>
          <w:tcPr>
            <w:tcW w:w="794" w:type="dxa"/>
          </w:tcPr>
          <w:p w:rsidR="007F2993" w:rsidRPr="00763EE9" w:rsidRDefault="007F2993" w:rsidP="000A5EE6">
            <w:pPr>
              <w:spacing w:before="360"/>
              <w:jc w:val="center"/>
              <w:rPr>
                <w:sz w:val="22"/>
                <w:szCs w:val="22"/>
              </w:rPr>
            </w:pPr>
            <w:r>
              <w:rPr>
                <w:sz w:val="22"/>
                <w:szCs w:val="22"/>
              </w:rPr>
              <w:t>5,8%</w:t>
            </w:r>
          </w:p>
        </w:tc>
        <w:tc>
          <w:tcPr>
            <w:tcW w:w="794" w:type="dxa"/>
          </w:tcPr>
          <w:p w:rsidR="007F2993" w:rsidRPr="00763EE9" w:rsidRDefault="00F0508A" w:rsidP="003D7C34">
            <w:pPr>
              <w:spacing w:before="360"/>
              <w:jc w:val="center"/>
              <w:rPr>
                <w:sz w:val="22"/>
                <w:szCs w:val="22"/>
              </w:rPr>
            </w:pPr>
            <w:r>
              <w:rPr>
                <w:sz w:val="22"/>
                <w:szCs w:val="22"/>
              </w:rPr>
              <w:t>2,8%</w:t>
            </w:r>
          </w:p>
        </w:tc>
        <w:tc>
          <w:tcPr>
            <w:tcW w:w="1134" w:type="dxa"/>
            <w:vAlign w:val="center"/>
          </w:tcPr>
          <w:p w:rsidR="007F2993" w:rsidRPr="00763EE9" w:rsidRDefault="007F2993" w:rsidP="000A5EE6">
            <w:pPr>
              <w:jc w:val="center"/>
              <w:rPr>
                <w:sz w:val="22"/>
                <w:szCs w:val="22"/>
              </w:rPr>
            </w:pPr>
            <w:r>
              <w:rPr>
                <w:sz w:val="22"/>
                <w:szCs w:val="22"/>
              </w:rPr>
              <w:t>741,2 / 10,2 раз</w:t>
            </w:r>
          </w:p>
        </w:tc>
        <w:tc>
          <w:tcPr>
            <w:tcW w:w="1134" w:type="dxa"/>
            <w:vAlign w:val="center"/>
          </w:tcPr>
          <w:p w:rsidR="007F2993" w:rsidRDefault="00F0508A" w:rsidP="00605896">
            <w:pPr>
              <w:jc w:val="center"/>
              <w:rPr>
                <w:sz w:val="22"/>
                <w:szCs w:val="22"/>
              </w:rPr>
            </w:pPr>
            <w:r>
              <w:rPr>
                <w:sz w:val="22"/>
                <w:szCs w:val="22"/>
              </w:rPr>
              <w:t xml:space="preserve">-197,8 / </w:t>
            </w:r>
          </w:p>
          <w:p w:rsidR="00F0508A" w:rsidRPr="00763EE9" w:rsidRDefault="00F0508A" w:rsidP="00605896">
            <w:pPr>
              <w:jc w:val="center"/>
              <w:rPr>
                <w:sz w:val="22"/>
                <w:szCs w:val="22"/>
              </w:rPr>
            </w:pPr>
            <w:r>
              <w:rPr>
                <w:sz w:val="22"/>
                <w:szCs w:val="22"/>
              </w:rPr>
              <w:t>-24,1%</w:t>
            </w:r>
          </w:p>
        </w:tc>
      </w:tr>
      <w:tr w:rsidR="007F2993" w:rsidRPr="0029403D" w:rsidTr="00763EE9">
        <w:tc>
          <w:tcPr>
            <w:tcW w:w="2235" w:type="dxa"/>
            <w:vAlign w:val="center"/>
          </w:tcPr>
          <w:p w:rsidR="007F2993" w:rsidRPr="00037D1B" w:rsidRDefault="007F2993" w:rsidP="00E6053E">
            <w:pPr>
              <w:rPr>
                <w:sz w:val="22"/>
                <w:szCs w:val="22"/>
              </w:rPr>
            </w:pPr>
            <w:r>
              <w:rPr>
                <w:sz w:val="22"/>
                <w:szCs w:val="22"/>
              </w:rPr>
              <w:t>Национальная эк</w:t>
            </w:r>
            <w:r>
              <w:rPr>
                <w:sz w:val="22"/>
                <w:szCs w:val="22"/>
              </w:rPr>
              <w:t>о</w:t>
            </w:r>
            <w:r>
              <w:rPr>
                <w:sz w:val="22"/>
                <w:szCs w:val="22"/>
              </w:rPr>
              <w:t>номика</w:t>
            </w:r>
          </w:p>
        </w:tc>
        <w:tc>
          <w:tcPr>
            <w:tcW w:w="964" w:type="dxa"/>
            <w:vAlign w:val="center"/>
          </w:tcPr>
          <w:p w:rsidR="007F2993" w:rsidRPr="00763EE9" w:rsidRDefault="007F2993" w:rsidP="000A5EE6">
            <w:pPr>
              <w:jc w:val="center"/>
              <w:rPr>
                <w:sz w:val="22"/>
                <w:szCs w:val="22"/>
              </w:rPr>
            </w:pPr>
            <w:r w:rsidRPr="00763EE9">
              <w:rPr>
                <w:sz w:val="22"/>
                <w:szCs w:val="22"/>
              </w:rPr>
              <w:t>1294,4</w:t>
            </w:r>
          </w:p>
        </w:tc>
        <w:tc>
          <w:tcPr>
            <w:tcW w:w="964" w:type="dxa"/>
            <w:vAlign w:val="center"/>
          </w:tcPr>
          <w:p w:rsidR="007F2993" w:rsidRPr="00763EE9" w:rsidRDefault="007F2993" w:rsidP="000A5EE6">
            <w:pPr>
              <w:jc w:val="center"/>
              <w:rPr>
                <w:sz w:val="22"/>
                <w:szCs w:val="22"/>
              </w:rPr>
            </w:pPr>
            <w:r w:rsidRPr="00763EE9">
              <w:rPr>
                <w:sz w:val="22"/>
                <w:szCs w:val="22"/>
              </w:rPr>
              <w:t>1488,6</w:t>
            </w:r>
          </w:p>
        </w:tc>
        <w:tc>
          <w:tcPr>
            <w:tcW w:w="964" w:type="dxa"/>
            <w:vAlign w:val="center"/>
          </w:tcPr>
          <w:p w:rsidR="007F2993" w:rsidRPr="00763EE9" w:rsidRDefault="00F0508A" w:rsidP="00406440">
            <w:pPr>
              <w:jc w:val="center"/>
              <w:rPr>
                <w:sz w:val="22"/>
                <w:szCs w:val="22"/>
              </w:rPr>
            </w:pPr>
            <w:r>
              <w:rPr>
                <w:sz w:val="22"/>
                <w:szCs w:val="22"/>
              </w:rPr>
              <w:t>6016,3</w:t>
            </w:r>
          </w:p>
        </w:tc>
        <w:tc>
          <w:tcPr>
            <w:tcW w:w="794" w:type="dxa"/>
          </w:tcPr>
          <w:p w:rsidR="007F2993" w:rsidRPr="00763EE9" w:rsidRDefault="007F2993" w:rsidP="000A5EE6">
            <w:pPr>
              <w:spacing w:before="120"/>
              <w:jc w:val="center"/>
              <w:rPr>
                <w:sz w:val="22"/>
                <w:szCs w:val="22"/>
              </w:rPr>
            </w:pPr>
            <w:r w:rsidRPr="00763EE9">
              <w:rPr>
                <w:sz w:val="22"/>
                <w:szCs w:val="22"/>
              </w:rPr>
              <w:t>10,5%</w:t>
            </w:r>
          </w:p>
        </w:tc>
        <w:tc>
          <w:tcPr>
            <w:tcW w:w="794" w:type="dxa"/>
          </w:tcPr>
          <w:p w:rsidR="007F2993" w:rsidRPr="00763EE9" w:rsidRDefault="007F2993" w:rsidP="000A5EE6">
            <w:pPr>
              <w:spacing w:before="120"/>
              <w:jc w:val="center"/>
              <w:rPr>
                <w:sz w:val="22"/>
                <w:szCs w:val="22"/>
              </w:rPr>
            </w:pPr>
            <w:r>
              <w:rPr>
                <w:sz w:val="22"/>
                <w:szCs w:val="22"/>
              </w:rPr>
              <w:t>10,4%</w:t>
            </w:r>
          </w:p>
        </w:tc>
        <w:tc>
          <w:tcPr>
            <w:tcW w:w="794" w:type="dxa"/>
          </w:tcPr>
          <w:p w:rsidR="007F2993" w:rsidRPr="00763EE9" w:rsidRDefault="00F0508A" w:rsidP="003D7C34">
            <w:pPr>
              <w:spacing w:before="120"/>
              <w:jc w:val="center"/>
              <w:rPr>
                <w:sz w:val="22"/>
                <w:szCs w:val="22"/>
              </w:rPr>
            </w:pPr>
            <w:r>
              <w:rPr>
                <w:sz w:val="22"/>
                <w:szCs w:val="22"/>
              </w:rPr>
              <w:t>26,9%</w:t>
            </w:r>
          </w:p>
        </w:tc>
        <w:tc>
          <w:tcPr>
            <w:tcW w:w="1134" w:type="dxa"/>
            <w:vAlign w:val="center"/>
          </w:tcPr>
          <w:p w:rsidR="007F2993" w:rsidRPr="00763EE9" w:rsidRDefault="007F2993" w:rsidP="000A5EE6">
            <w:pPr>
              <w:jc w:val="center"/>
              <w:rPr>
                <w:sz w:val="22"/>
                <w:szCs w:val="22"/>
              </w:rPr>
            </w:pPr>
            <w:r>
              <w:rPr>
                <w:sz w:val="22"/>
                <w:szCs w:val="22"/>
              </w:rPr>
              <w:t>194,2 / 15,0%</w:t>
            </w:r>
          </w:p>
        </w:tc>
        <w:tc>
          <w:tcPr>
            <w:tcW w:w="1134" w:type="dxa"/>
            <w:vAlign w:val="center"/>
          </w:tcPr>
          <w:p w:rsidR="00F0508A" w:rsidRDefault="00F0508A" w:rsidP="00E6053E">
            <w:pPr>
              <w:jc w:val="center"/>
              <w:rPr>
                <w:sz w:val="22"/>
                <w:szCs w:val="22"/>
              </w:rPr>
            </w:pPr>
            <w:r>
              <w:rPr>
                <w:sz w:val="22"/>
                <w:szCs w:val="22"/>
              </w:rPr>
              <w:t xml:space="preserve">4527,7 / </w:t>
            </w:r>
          </w:p>
          <w:p w:rsidR="007F2993" w:rsidRPr="00763EE9" w:rsidRDefault="00F0508A" w:rsidP="00E6053E">
            <w:pPr>
              <w:jc w:val="center"/>
              <w:rPr>
                <w:sz w:val="22"/>
                <w:szCs w:val="22"/>
              </w:rPr>
            </w:pPr>
            <w:r>
              <w:rPr>
                <w:sz w:val="22"/>
                <w:szCs w:val="22"/>
              </w:rPr>
              <w:t>4 раза</w:t>
            </w:r>
          </w:p>
        </w:tc>
      </w:tr>
      <w:tr w:rsidR="007F2993" w:rsidRPr="0029403D" w:rsidTr="00763EE9">
        <w:tc>
          <w:tcPr>
            <w:tcW w:w="2235" w:type="dxa"/>
            <w:vAlign w:val="center"/>
          </w:tcPr>
          <w:p w:rsidR="007F2993" w:rsidRPr="00037D1B" w:rsidRDefault="007F2993" w:rsidP="002E14C6">
            <w:pPr>
              <w:rPr>
                <w:sz w:val="22"/>
                <w:szCs w:val="22"/>
              </w:rPr>
            </w:pPr>
            <w:r w:rsidRPr="00037D1B">
              <w:rPr>
                <w:sz w:val="22"/>
                <w:szCs w:val="22"/>
              </w:rPr>
              <w:t>Жилищно-коммунальное х</w:t>
            </w:r>
            <w:r w:rsidRPr="00037D1B">
              <w:rPr>
                <w:sz w:val="22"/>
                <w:szCs w:val="22"/>
              </w:rPr>
              <w:t>о</w:t>
            </w:r>
            <w:r w:rsidRPr="00037D1B">
              <w:rPr>
                <w:sz w:val="22"/>
                <w:szCs w:val="22"/>
              </w:rPr>
              <w:t>зяйство</w:t>
            </w:r>
          </w:p>
        </w:tc>
        <w:tc>
          <w:tcPr>
            <w:tcW w:w="964" w:type="dxa"/>
            <w:vAlign w:val="center"/>
          </w:tcPr>
          <w:p w:rsidR="007F2993" w:rsidRPr="00763EE9" w:rsidRDefault="007F2993" w:rsidP="000A5EE6">
            <w:pPr>
              <w:jc w:val="center"/>
              <w:rPr>
                <w:sz w:val="22"/>
                <w:szCs w:val="22"/>
              </w:rPr>
            </w:pPr>
            <w:r w:rsidRPr="00763EE9">
              <w:rPr>
                <w:sz w:val="22"/>
                <w:szCs w:val="22"/>
              </w:rPr>
              <w:t>4088,6</w:t>
            </w:r>
          </w:p>
        </w:tc>
        <w:tc>
          <w:tcPr>
            <w:tcW w:w="964" w:type="dxa"/>
            <w:vAlign w:val="center"/>
          </w:tcPr>
          <w:p w:rsidR="007F2993" w:rsidRPr="00763EE9" w:rsidRDefault="007F2993" w:rsidP="000A5EE6">
            <w:pPr>
              <w:jc w:val="center"/>
              <w:rPr>
                <w:sz w:val="22"/>
                <w:szCs w:val="22"/>
              </w:rPr>
            </w:pPr>
            <w:r w:rsidRPr="00763EE9">
              <w:rPr>
                <w:sz w:val="22"/>
                <w:szCs w:val="22"/>
              </w:rPr>
              <w:t>2208,9</w:t>
            </w:r>
          </w:p>
        </w:tc>
        <w:tc>
          <w:tcPr>
            <w:tcW w:w="964" w:type="dxa"/>
            <w:vAlign w:val="center"/>
          </w:tcPr>
          <w:p w:rsidR="007F2993" w:rsidRPr="00763EE9" w:rsidRDefault="00F0508A" w:rsidP="00381832">
            <w:pPr>
              <w:jc w:val="center"/>
              <w:rPr>
                <w:sz w:val="22"/>
                <w:szCs w:val="22"/>
              </w:rPr>
            </w:pPr>
            <w:r>
              <w:rPr>
                <w:sz w:val="22"/>
                <w:szCs w:val="22"/>
              </w:rPr>
              <w:t>5605,4</w:t>
            </w:r>
          </w:p>
        </w:tc>
        <w:tc>
          <w:tcPr>
            <w:tcW w:w="794" w:type="dxa"/>
          </w:tcPr>
          <w:p w:rsidR="007F2993" w:rsidRPr="00763EE9" w:rsidRDefault="007F2993" w:rsidP="000A5EE6">
            <w:pPr>
              <w:spacing w:before="240"/>
              <w:jc w:val="center"/>
              <w:rPr>
                <w:sz w:val="22"/>
                <w:szCs w:val="22"/>
              </w:rPr>
            </w:pPr>
            <w:r w:rsidRPr="00763EE9">
              <w:rPr>
                <w:sz w:val="22"/>
                <w:szCs w:val="22"/>
              </w:rPr>
              <w:t>33,2%</w:t>
            </w:r>
          </w:p>
        </w:tc>
        <w:tc>
          <w:tcPr>
            <w:tcW w:w="794" w:type="dxa"/>
          </w:tcPr>
          <w:p w:rsidR="007F2993" w:rsidRPr="00763EE9" w:rsidRDefault="007F2993" w:rsidP="000A5EE6">
            <w:pPr>
              <w:spacing w:before="240"/>
              <w:jc w:val="center"/>
              <w:rPr>
                <w:sz w:val="22"/>
                <w:szCs w:val="22"/>
              </w:rPr>
            </w:pPr>
            <w:r>
              <w:rPr>
                <w:sz w:val="22"/>
                <w:szCs w:val="22"/>
              </w:rPr>
              <w:t>15,5%</w:t>
            </w:r>
          </w:p>
        </w:tc>
        <w:tc>
          <w:tcPr>
            <w:tcW w:w="794" w:type="dxa"/>
          </w:tcPr>
          <w:p w:rsidR="007F2993" w:rsidRPr="00763EE9" w:rsidRDefault="00F0508A" w:rsidP="00CB04EE">
            <w:pPr>
              <w:spacing w:before="240"/>
              <w:jc w:val="center"/>
              <w:rPr>
                <w:sz w:val="22"/>
                <w:szCs w:val="22"/>
              </w:rPr>
            </w:pPr>
            <w:r>
              <w:rPr>
                <w:sz w:val="22"/>
                <w:szCs w:val="22"/>
              </w:rPr>
              <w:t>25,1%</w:t>
            </w:r>
          </w:p>
        </w:tc>
        <w:tc>
          <w:tcPr>
            <w:tcW w:w="1134" w:type="dxa"/>
            <w:vAlign w:val="center"/>
          </w:tcPr>
          <w:p w:rsidR="007F2993" w:rsidRDefault="007F2993" w:rsidP="000A5EE6">
            <w:pPr>
              <w:jc w:val="center"/>
              <w:rPr>
                <w:sz w:val="22"/>
                <w:szCs w:val="22"/>
              </w:rPr>
            </w:pPr>
            <w:r>
              <w:rPr>
                <w:sz w:val="22"/>
                <w:szCs w:val="22"/>
              </w:rPr>
              <w:t xml:space="preserve">-1879,7 / </w:t>
            </w:r>
          </w:p>
          <w:p w:rsidR="007F2993" w:rsidRPr="00763EE9" w:rsidRDefault="007F2993" w:rsidP="000A5EE6">
            <w:pPr>
              <w:jc w:val="center"/>
              <w:rPr>
                <w:sz w:val="22"/>
                <w:szCs w:val="22"/>
              </w:rPr>
            </w:pPr>
            <w:r>
              <w:rPr>
                <w:sz w:val="22"/>
                <w:szCs w:val="22"/>
              </w:rPr>
              <w:t>-46,0%</w:t>
            </w:r>
          </w:p>
        </w:tc>
        <w:tc>
          <w:tcPr>
            <w:tcW w:w="1134" w:type="dxa"/>
            <w:vAlign w:val="center"/>
          </w:tcPr>
          <w:p w:rsidR="007F2993" w:rsidRPr="00763EE9" w:rsidRDefault="00F0508A" w:rsidP="00E6053E">
            <w:pPr>
              <w:jc w:val="center"/>
              <w:rPr>
                <w:sz w:val="22"/>
                <w:szCs w:val="22"/>
              </w:rPr>
            </w:pPr>
            <w:r>
              <w:rPr>
                <w:sz w:val="22"/>
                <w:szCs w:val="22"/>
              </w:rPr>
              <w:t>3396,5 / 153,8%</w:t>
            </w:r>
          </w:p>
        </w:tc>
      </w:tr>
      <w:tr w:rsidR="007F2993" w:rsidRPr="0029403D" w:rsidTr="00763EE9">
        <w:tc>
          <w:tcPr>
            <w:tcW w:w="2235" w:type="dxa"/>
            <w:vAlign w:val="center"/>
          </w:tcPr>
          <w:p w:rsidR="007F2993" w:rsidRPr="00037D1B" w:rsidRDefault="007F2993" w:rsidP="002E14C6">
            <w:pPr>
              <w:rPr>
                <w:sz w:val="22"/>
                <w:szCs w:val="22"/>
              </w:rPr>
            </w:pPr>
            <w:r w:rsidRPr="00037D1B">
              <w:rPr>
                <w:sz w:val="22"/>
                <w:szCs w:val="22"/>
              </w:rPr>
              <w:t>Культура, кинемат</w:t>
            </w:r>
            <w:r w:rsidRPr="00037D1B">
              <w:rPr>
                <w:sz w:val="22"/>
                <w:szCs w:val="22"/>
              </w:rPr>
              <w:t>о</w:t>
            </w:r>
            <w:r w:rsidRPr="00037D1B">
              <w:rPr>
                <w:sz w:val="22"/>
                <w:szCs w:val="22"/>
              </w:rPr>
              <w:t>графия</w:t>
            </w:r>
          </w:p>
        </w:tc>
        <w:tc>
          <w:tcPr>
            <w:tcW w:w="964" w:type="dxa"/>
            <w:vAlign w:val="center"/>
          </w:tcPr>
          <w:p w:rsidR="007F2993" w:rsidRPr="00763EE9" w:rsidRDefault="007F2993" w:rsidP="000A5EE6">
            <w:pPr>
              <w:jc w:val="center"/>
              <w:rPr>
                <w:sz w:val="22"/>
                <w:szCs w:val="22"/>
              </w:rPr>
            </w:pPr>
            <w:r w:rsidRPr="00763EE9">
              <w:rPr>
                <w:sz w:val="22"/>
                <w:szCs w:val="22"/>
              </w:rPr>
              <w:t>4520,4</w:t>
            </w:r>
          </w:p>
        </w:tc>
        <w:tc>
          <w:tcPr>
            <w:tcW w:w="964" w:type="dxa"/>
            <w:vAlign w:val="center"/>
          </w:tcPr>
          <w:p w:rsidR="007F2993" w:rsidRPr="00763EE9" w:rsidRDefault="007F2993" w:rsidP="000A5EE6">
            <w:pPr>
              <w:jc w:val="center"/>
              <w:rPr>
                <w:sz w:val="22"/>
                <w:szCs w:val="22"/>
              </w:rPr>
            </w:pPr>
            <w:r w:rsidRPr="00763EE9">
              <w:rPr>
                <w:sz w:val="22"/>
                <w:szCs w:val="22"/>
              </w:rPr>
              <w:t>6283,5</w:t>
            </w:r>
          </w:p>
        </w:tc>
        <w:tc>
          <w:tcPr>
            <w:tcW w:w="964" w:type="dxa"/>
            <w:vAlign w:val="center"/>
          </w:tcPr>
          <w:p w:rsidR="007F2993" w:rsidRPr="00763EE9" w:rsidRDefault="00F0508A" w:rsidP="002E14C6">
            <w:pPr>
              <w:jc w:val="center"/>
              <w:rPr>
                <w:sz w:val="22"/>
                <w:szCs w:val="22"/>
              </w:rPr>
            </w:pPr>
            <w:r>
              <w:rPr>
                <w:sz w:val="22"/>
                <w:szCs w:val="22"/>
              </w:rPr>
              <w:t>6958,1</w:t>
            </w:r>
          </w:p>
        </w:tc>
        <w:tc>
          <w:tcPr>
            <w:tcW w:w="794" w:type="dxa"/>
          </w:tcPr>
          <w:p w:rsidR="007F2993" w:rsidRPr="00763EE9" w:rsidRDefault="007F2993" w:rsidP="000A5EE6">
            <w:pPr>
              <w:spacing w:before="120"/>
              <w:jc w:val="center"/>
              <w:rPr>
                <w:sz w:val="22"/>
                <w:szCs w:val="22"/>
              </w:rPr>
            </w:pPr>
            <w:r w:rsidRPr="00763EE9">
              <w:rPr>
                <w:sz w:val="22"/>
                <w:szCs w:val="22"/>
              </w:rPr>
              <w:t>36,7%</w:t>
            </w:r>
          </w:p>
        </w:tc>
        <w:tc>
          <w:tcPr>
            <w:tcW w:w="794" w:type="dxa"/>
          </w:tcPr>
          <w:p w:rsidR="007F2993" w:rsidRPr="00763EE9" w:rsidRDefault="007F2993" w:rsidP="000A5EE6">
            <w:pPr>
              <w:spacing w:before="120"/>
              <w:jc w:val="center"/>
              <w:rPr>
                <w:sz w:val="22"/>
                <w:szCs w:val="22"/>
              </w:rPr>
            </w:pPr>
            <w:r>
              <w:rPr>
                <w:sz w:val="22"/>
                <w:szCs w:val="22"/>
              </w:rPr>
              <w:t>44,1%</w:t>
            </w:r>
          </w:p>
        </w:tc>
        <w:tc>
          <w:tcPr>
            <w:tcW w:w="794" w:type="dxa"/>
          </w:tcPr>
          <w:p w:rsidR="007F2993" w:rsidRPr="00763EE9" w:rsidRDefault="00F0508A" w:rsidP="003D7C34">
            <w:pPr>
              <w:spacing w:before="120"/>
              <w:jc w:val="center"/>
              <w:rPr>
                <w:sz w:val="22"/>
                <w:szCs w:val="22"/>
              </w:rPr>
            </w:pPr>
            <w:r>
              <w:rPr>
                <w:sz w:val="22"/>
                <w:szCs w:val="22"/>
              </w:rPr>
              <w:t>31,1%</w:t>
            </w:r>
          </w:p>
        </w:tc>
        <w:tc>
          <w:tcPr>
            <w:tcW w:w="1134" w:type="dxa"/>
            <w:vAlign w:val="center"/>
          </w:tcPr>
          <w:p w:rsidR="007F2993" w:rsidRPr="00763EE9" w:rsidRDefault="007F2993" w:rsidP="000A5EE6">
            <w:pPr>
              <w:jc w:val="center"/>
              <w:rPr>
                <w:sz w:val="22"/>
                <w:szCs w:val="22"/>
              </w:rPr>
            </w:pPr>
            <w:r>
              <w:rPr>
                <w:sz w:val="22"/>
                <w:szCs w:val="22"/>
              </w:rPr>
              <w:t>1763,1 / 39,0%</w:t>
            </w:r>
          </w:p>
        </w:tc>
        <w:tc>
          <w:tcPr>
            <w:tcW w:w="1134" w:type="dxa"/>
            <w:vAlign w:val="center"/>
          </w:tcPr>
          <w:p w:rsidR="007F2993" w:rsidRPr="00763EE9" w:rsidRDefault="00F0508A" w:rsidP="00E02480">
            <w:pPr>
              <w:jc w:val="center"/>
              <w:rPr>
                <w:sz w:val="22"/>
                <w:szCs w:val="22"/>
              </w:rPr>
            </w:pPr>
            <w:r>
              <w:rPr>
                <w:sz w:val="22"/>
                <w:szCs w:val="22"/>
              </w:rPr>
              <w:t>674,6 / 10,7%</w:t>
            </w:r>
          </w:p>
        </w:tc>
      </w:tr>
      <w:tr w:rsidR="007F2993" w:rsidRPr="0029403D" w:rsidTr="00763EE9">
        <w:tc>
          <w:tcPr>
            <w:tcW w:w="2235" w:type="dxa"/>
          </w:tcPr>
          <w:p w:rsidR="007F2993" w:rsidRPr="00037D1B" w:rsidRDefault="007F2993" w:rsidP="002E14C6">
            <w:pPr>
              <w:rPr>
                <w:sz w:val="22"/>
                <w:szCs w:val="22"/>
              </w:rPr>
            </w:pPr>
            <w:r w:rsidRPr="00037D1B">
              <w:rPr>
                <w:sz w:val="22"/>
                <w:szCs w:val="22"/>
              </w:rPr>
              <w:t>Социальная полит</w:t>
            </w:r>
            <w:r w:rsidRPr="00037D1B">
              <w:rPr>
                <w:sz w:val="22"/>
                <w:szCs w:val="22"/>
              </w:rPr>
              <w:t>и</w:t>
            </w:r>
            <w:r w:rsidRPr="00037D1B">
              <w:rPr>
                <w:sz w:val="22"/>
                <w:szCs w:val="22"/>
              </w:rPr>
              <w:t>ка</w:t>
            </w:r>
          </w:p>
        </w:tc>
        <w:tc>
          <w:tcPr>
            <w:tcW w:w="964" w:type="dxa"/>
            <w:vAlign w:val="center"/>
          </w:tcPr>
          <w:p w:rsidR="007F2993" w:rsidRPr="00763EE9" w:rsidRDefault="007F2993" w:rsidP="000A5EE6">
            <w:pPr>
              <w:jc w:val="center"/>
              <w:rPr>
                <w:sz w:val="22"/>
                <w:szCs w:val="22"/>
              </w:rPr>
            </w:pPr>
            <w:r w:rsidRPr="00763EE9">
              <w:rPr>
                <w:sz w:val="22"/>
                <w:szCs w:val="22"/>
              </w:rPr>
              <w:t>54,9</w:t>
            </w:r>
          </w:p>
        </w:tc>
        <w:tc>
          <w:tcPr>
            <w:tcW w:w="964" w:type="dxa"/>
            <w:vAlign w:val="center"/>
          </w:tcPr>
          <w:p w:rsidR="007F2993" w:rsidRPr="00763EE9" w:rsidRDefault="007F2993" w:rsidP="000A5EE6">
            <w:pPr>
              <w:jc w:val="center"/>
              <w:rPr>
                <w:sz w:val="22"/>
                <w:szCs w:val="22"/>
              </w:rPr>
            </w:pPr>
            <w:r w:rsidRPr="00763EE9">
              <w:rPr>
                <w:sz w:val="22"/>
                <w:szCs w:val="22"/>
              </w:rPr>
              <w:t>57,8</w:t>
            </w:r>
          </w:p>
        </w:tc>
        <w:tc>
          <w:tcPr>
            <w:tcW w:w="964" w:type="dxa"/>
            <w:vAlign w:val="center"/>
          </w:tcPr>
          <w:p w:rsidR="007F2993" w:rsidRPr="00763EE9" w:rsidRDefault="00F0508A" w:rsidP="002E14C6">
            <w:pPr>
              <w:jc w:val="center"/>
              <w:rPr>
                <w:sz w:val="22"/>
                <w:szCs w:val="22"/>
              </w:rPr>
            </w:pPr>
            <w:r>
              <w:rPr>
                <w:sz w:val="22"/>
                <w:szCs w:val="22"/>
              </w:rPr>
              <w:t>60,3</w:t>
            </w:r>
          </w:p>
        </w:tc>
        <w:tc>
          <w:tcPr>
            <w:tcW w:w="794" w:type="dxa"/>
          </w:tcPr>
          <w:p w:rsidR="007F2993" w:rsidRPr="00763EE9" w:rsidRDefault="007F2993" w:rsidP="000A5EE6">
            <w:pPr>
              <w:spacing w:before="120"/>
              <w:jc w:val="center"/>
              <w:rPr>
                <w:sz w:val="22"/>
                <w:szCs w:val="22"/>
              </w:rPr>
            </w:pPr>
            <w:r w:rsidRPr="00763EE9">
              <w:rPr>
                <w:sz w:val="22"/>
                <w:szCs w:val="22"/>
              </w:rPr>
              <w:t>0,4%</w:t>
            </w:r>
          </w:p>
        </w:tc>
        <w:tc>
          <w:tcPr>
            <w:tcW w:w="794" w:type="dxa"/>
          </w:tcPr>
          <w:p w:rsidR="007F2993" w:rsidRPr="00763EE9" w:rsidRDefault="007F2993" w:rsidP="000A5EE6">
            <w:pPr>
              <w:spacing w:before="120"/>
              <w:jc w:val="center"/>
              <w:rPr>
                <w:sz w:val="22"/>
                <w:szCs w:val="22"/>
              </w:rPr>
            </w:pPr>
            <w:r>
              <w:rPr>
                <w:sz w:val="22"/>
                <w:szCs w:val="22"/>
              </w:rPr>
              <w:t>0,4%</w:t>
            </w:r>
          </w:p>
        </w:tc>
        <w:tc>
          <w:tcPr>
            <w:tcW w:w="794" w:type="dxa"/>
          </w:tcPr>
          <w:p w:rsidR="007F2993" w:rsidRPr="00763EE9" w:rsidRDefault="00F0508A" w:rsidP="003D7C34">
            <w:pPr>
              <w:spacing w:before="120"/>
              <w:jc w:val="center"/>
              <w:rPr>
                <w:sz w:val="22"/>
                <w:szCs w:val="22"/>
              </w:rPr>
            </w:pPr>
            <w:r>
              <w:rPr>
                <w:sz w:val="22"/>
                <w:szCs w:val="22"/>
              </w:rPr>
              <w:t>0,3%</w:t>
            </w:r>
          </w:p>
        </w:tc>
        <w:tc>
          <w:tcPr>
            <w:tcW w:w="1134" w:type="dxa"/>
            <w:vAlign w:val="center"/>
          </w:tcPr>
          <w:p w:rsidR="007F2993" w:rsidRPr="00763EE9" w:rsidRDefault="007F2993" w:rsidP="000A5EE6">
            <w:pPr>
              <w:jc w:val="center"/>
              <w:rPr>
                <w:sz w:val="22"/>
                <w:szCs w:val="22"/>
              </w:rPr>
            </w:pPr>
            <w:r>
              <w:rPr>
                <w:sz w:val="22"/>
                <w:szCs w:val="22"/>
              </w:rPr>
              <w:t>2,9 / 5,3%</w:t>
            </w:r>
          </w:p>
        </w:tc>
        <w:tc>
          <w:tcPr>
            <w:tcW w:w="1134" w:type="dxa"/>
            <w:vAlign w:val="center"/>
          </w:tcPr>
          <w:p w:rsidR="007F2993" w:rsidRPr="00763EE9" w:rsidRDefault="00F0508A" w:rsidP="00E6053E">
            <w:pPr>
              <w:jc w:val="center"/>
              <w:rPr>
                <w:sz w:val="22"/>
                <w:szCs w:val="22"/>
              </w:rPr>
            </w:pPr>
            <w:r>
              <w:rPr>
                <w:sz w:val="22"/>
                <w:szCs w:val="22"/>
              </w:rPr>
              <w:t>2,5 / 4,3%</w:t>
            </w:r>
          </w:p>
        </w:tc>
      </w:tr>
      <w:tr w:rsidR="007F2993" w:rsidRPr="0029403D" w:rsidTr="00763EE9">
        <w:tc>
          <w:tcPr>
            <w:tcW w:w="2235" w:type="dxa"/>
          </w:tcPr>
          <w:p w:rsidR="007F2993" w:rsidRPr="00037D1B" w:rsidRDefault="007F2993" w:rsidP="004B6B0C">
            <w:pPr>
              <w:spacing w:before="120"/>
              <w:rPr>
                <w:b/>
                <w:sz w:val="22"/>
                <w:szCs w:val="22"/>
              </w:rPr>
            </w:pPr>
            <w:r w:rsidRPr="00037D1B">
              <w:rPr>
                <w:b/>
                <w:sz w:val="22"/>
                <w:szCs w:val="22"/>
              </w:rPr>
              <w:t>Итого расходов</w:t>
            </w:r>
          </w:p>
        </w:tc>
        <w:tc>
          <w:tcPr>
            <w:tcW w:w="964" w:type="dxa"/>
            <w:vAlign w:val="center"/>
          </w:tcPr>
          <w:p w:rsidR="007F2993" w:rsidRPr="00763EE9" w:rsidRDefault="007F2993" w:rsidP="000A5EE6">
            <w:pPr>
              <w:jc w:val="center"/>
              <w:rPr>
                <w:b/>
                <w:sz w:val="22"/>
                <w:szCs w:val="22"/>
              </w:rPr>
            </w:pPr>
            <w:r w:rsidRPr="00763EE9">
              <w:rPr>
                <w:b/>
                <w:sz w:val="22"/>
                <w:szCs w:val="22"/>
              </w:rPr>
              <w:t>12328,7</w:t>
            </w:r>
          </w:p>
        </w:tc>
        <w:tc>
          <w:tcPr>
            <w:tcW w:w="964" w:type="dxa"/>
            <w:vAlign w:val="center"/>
          </w:tcPr>
          <w:p w:rsidR="007F2993" w:rsidRPr="00763EE9" w:rsidRDefault="007F2993" w:rsidP="000A5EE6">
            <w:pPr>
              <w:jc w:val="center"/>
              <w:rPr>
                <w:b/>
                <w:sz w:val="22"/>
                <w:szCs w:val="22"/>
              </w:rPr>
            </w:pPr>
            <w:r w:rsidRPr="00763EE9">
              <w:rPr>
                <w:b/>
                <w:sz w:val="22"/>
                <w:szCs w:val="22"/>
              </w:rPr>
              <w:t>14259,3</w:t>
            </w:r>
          </w:p>
        </w:tc>
        <w:tc>
          <w:tcPr>
            <w:tcW w:w="964" w:type="dxa"/>
            <w:vAlign w:val="center"/>
          </w:tcPr>
          <w:p w:rsidR="007F2993" w:rsidRPr="00763EE9" w:rsidRDefault="00F0508A" w:rsidP="002E14C6">
            <w:pPr>
              <w:jc w:val="center"/>
              <w:rPr>
                <w:b/>
                <w:sz w:val="22"/>
                <w:szCs w:val="22"/>
              </w:rPr>
            </w:pPr>
            <w:r>
              <w:rPr>
                <w:b/>
                <w:sz w:val="22"/>
                <w:szCs w:val="22"/>
              </w:rPr>
              <w:t>22349,9</w:t>
            </w:r>
          </w:p>
        </w:tc>
        <w:tc>
          <w:tcPr>
            <w:tcW w:w="794" w:type="dxa"/>
            <w:vAlign w:val="center"/>
          </w:tcPr>
          <w:p w:rsidR="007F2993" w:rsidRPr="00763EE9" w:rsidRDefault="007F2993" w:rsidP="00894DE6">
            <w:pPr>
              <w:jc w:val="center"/>
              <w:rPr>
                <w:b/>
                <w:sz w:val="22"/>
                <w:szCs w:val="22"/>
              </w:rPr>
            </w:pPr>
            <w:r w:rsidRPr="00763EE9">
              <w:rPr>
                <w:b/>
                <w:sz w:val="22"/>
                <w:szCs w:val="22"/>
              </w:rPr>
              <w:t>100%</w:t>
            </w:r>
          </w:p>
        </w:tc>
        <w:tc>
          <w:tcPr>
            <w:tcW w:w="794" w:type="dxa"/>
            <w:vAlign w:val="center"/>
          </w:tcPr>
          <w:p w:rsidR="007F2993" w:rsidRPr="00763EE9" w:rsidRDefault="007F2993" w:rsidP="00894DE6">
            <w:pPr>
              <w:jc w:val="center"/>
              <w:rPr>
                <w:b/>
                <w:sz w:val="22"/>
                <w:szCs w:val="22"/>
              </w:rPr>
            </w:pPr>
            <w:r w:rsidRPr="00763EE9">
              <w:rPr>
                <w:b/>
                <w:sz w:val="22"/>
                <w:szCs w:val="22"/>
              </w:rPr>
              <w:t>100%</w:t>
            </w:r>
          </w:p>
        </w:tc>
        <w:tc>
          <w:tcPr>
            <w:tcW w:w="794" w:type="dxa"/>
            <w:vAlign w:val="center"/>
          </w:tcPr>
          <w:p w:rsidR="007F2993" w:rsidRPr="00763EE9" w:rsidRDefault="007F2993" w:rsidP="002E14C6">
            <w:pPr>
              <w:jc w:val="center"/>
              <w:rPr>
                <w:b/>
                <w:sz w:val="22"/>
                <w:szCs w:val="22"/>
              </w:rPr>
            </w:pPr>
            <w:r w:rsidRPr="00763EE9">
              <w:rPr>
                <w:b/>
                <w:sz w:val="22"/>
                <w:szCs w:val="22"/>
              </w:rPr>
              <w:t>100%</w:t>
            </w:r>
          </w:p>
        </w:tc>
        <w:tc>
          <w:tcPr>
            <w:tcW w:w="1134" w:type="dxa"/>
            <w:vAlign w:val="center"/>
          </w:tcPr>
          <w:p w:rsidR="007F2993" w:rsidRPr="00763EE9" w:rsidRDefault="007F2993" w:rsidP="000A5EE6">
            <w:pPr>
              <w:jc w:val="center"/>
              <w:rPr>
                <w:b/>
                <w:sz w:val="22"/>
                <w:szCs w:val="22"/>
              </w:rPr>
            </w:pPr>
            <w:r>
              <w:rPr>
                <w:b/>
                <w:sz w:val="22"/>
                <w:szCs w:val="22"/>
              </w:rPr>
              <w:t>1930,6 / 15,7%</w:t>
            </w:r>
          </w:p>
        </w:tc>
        <w:tc>
          <w:tcPr>
            <w:tcW w:w="1134" w:type="dxa"/>
            <w:vAlign w:val="center"/>
          </w:tcPr>
          <w:p w:rsidR="007F2993" w:rsidRPr="00763EE9" w:rsidRDefault="00F0508A" w:rsidP="005E2C38">
            <w:pPr>
              <w:jc w:val="center"/>
              <w:rPr>
                <w:b/>
                <w:sz w:val="22"/>
                <w:szCs w:val="22"/>
              </w:rPr>
            </w:pPr>
            <w:r>
              <w:rPr>
                <w:b/>
                <w:sz w:val="22"/>
                <w:szCs w:val="22"/>
              </w:rPr>
              <w:t>8090,6 / 56,7%</w:t>
            </w:r>
          </w:p>
        </w:tc>
      </w:tr>
    </w:tbl>
    <w:p w:rsidR="004A13B7" w:rsidRPr="0029403D" w:rsidRDefault="004A13B7" w:rsidP="00D85D04">
      <w:pPr>
        <w:spacing w:before="120"/>
        <w:ind w:firstLine="567"/>
        <w:jc w:val="both"/>
      </w:pPr>
      <w:r w:rsidRPr="0029403D">
        <w:rPr>
          <w:b/>
        </w:rPr>
        <w:t xml:space="preserve">По разделу 01 «Общегосударственные вопросы» </w:t>
      </w:r>
      <w:r w:rsidRPr="0029403D">
        <w:t xml:space="preserve">расходы в </w:t>
      </w:r>
      <w:r w:rsidR="007F2993">
        <w:t>2014</w:t>
      </w:r>
      <w:r w:rsidRPr="0029403D">
        <w:t xml:space="preserve"> году </w:t>
      </w:r>
      <w:r w:rsidR="002D3343" w:rsidRPr="0029403D">
        <w:t>исполнены</w:t>
      </w:r>
      <w:r w:rsidRPr="0029403D">
        <w:t xml:space="preserve"> в объёме </w:t>
      </w:r>
      <w:r w:rsidR="006B4CAB">
        <w:t>3013,0</w:t>
      </w:r>
      <w:r w:rsidR="000C4655">
        <w:t xml:space="preserve"> </w:t>
      </w:r>
      <w:r w:rsidRPr="0029403D">
        <w:t>тыс. руб.</w:t>
      </w:r>
      <w:r w:rsidR="00A915EB" w:rsidRPr="0029403D">
        <w:t xml:space="preserve"> или </w:t>
      </w:r>
      <w:r w:rsidR="006B4CAB">
        <w:t>90,8</w:t>
      </w:r>
      <w:r w:rsidR="00A915EB" w:rsidRPr="0029403D">
        <w:t>%</w:t>
      </w:r>
      <w:r w:rsidR="00695ACA" w:rsidRPr="0029403D">
        <w:t xml:space="preserve"> к плану</w:t>
      </w:r>
      <w:r w:rsidR="000C4655">
        <w:t xml:space="preserve"> </w:t>
      </w:r>
      <w:r w:rsidR="00A81EBD" w:rsidRPr="0029403D">
        <w:t>(</w:t>
      </w:r>
      <w:r w:rsidR="00D01A8F">
        <w:t>недоисполнение</w:t>
      </w:r>
      <w:r w:rsidR="00A81EBD" w:rsidRPr="0029403D">
        <w:t xml:space="preserve"> – </w:t>
      </w:r>
      <w:r w:rsidR="006B4CAB">
        <w:t>303,8</w:t>
      </w:r>
      <w:r w:rsidR="00A81EBD" w:rsidRPr="0029403D">
        <w:t xml:space="preserve"> тыс. руб.)</w:t>
      </w:r>
      <w:r w:rsidRPr="0029403D">
        <w:t>.</w:t>
      </w:r>
      <w:r w:rsidR="002619DE" w:rsidRPr="0029403D">
        <w:t xml:space="preserve"> Удельный вес </w:t>
      </w:r>
      <w:r w:rsidR="002619DE" w:rsidRPr="00A3799B">
        <w:t xml:space="preserve">раздела в расходах бюджета составил </w:t>
      </w:r>
      <w:r w:rsidR="006B4CAB" w:rsidRPr="00A3799B">
        <w:t>13,5</w:t>
      </w:r>
      <w:r w:rsidR="002619DE" w:rsidRPr="00A3799B">
        <w:t>%.</w:t>
      </w:r>
      <w:r w:rsidR="00030C63" w:rsidRPr="00A3799B">
        <w:t xml:space="preserve"> </w:t>
      </w:r>
      <w:r w:rsidR="00A3799B">
        <w:t>Согласно данным формы 0503164 «</w:t>
      </w:r>
      <w:r w:rsidR="00A3799B" w:rsidRPr="00A57EA8">
        <w:t>Сведения об исполнении бюджета</w:t>
      </w:r>
      <w:r w:rsidR="00A3799B">
        <w:t>» неисполнение связано с</w:t>
      </w:r>
      <w:r w:rsidR="00030C63" w:rsidRPr="00A3799B">
        <w:t xml:space="preserve"> </w:t>
      </w:r>
      <w:r w:rsidR="00A3799B">
        <w:t>экономией расходов</w:t>
      </w:r>
      <w:r w:rsidR="00030C63" w:rsidRPr="00A3799B">
        <w:t>.</w:t>
      </w:r>
    </w:p>
    <w:p w:rsidR="006B4CAB" w:rsidRPr="0029403D" w:rsidRDefault="006B4CAB" w:rsidP="006B4CAB">
      <w:pPr>
        <w:spacing w:before="40"/>
        <w:ind w:firstLine="567"/>
        <w:jc w:val="both"/>
      </w:pPr>
      <w:r w:rsidRPr="0029403D">
        <w:t xml:space="preserve">При анализе исполнения местного бюджета за </w:t>
      </w:r>
      <w:r>
        <w:t>2014</w:t>
      </w:r>
      <w:r w:rsidRPr="0029403D">
        <w:t xml:space="preserve"> год установлено, что расходы на содержание главы муниципального образования в объёме </w:t>
      </w:r>
      <w:r>
        <w:t>444,7</w:t>
      </w:r>
      <w:r w:rsidRPr="0029403D">
        <w:t xml:space="preserve"> тыс. руб. соответствуют нормативу, установленному постановлением администрации Новосибирской области от 28.12.2007 № 206-па.</w:t>
      </w:r>
    </w:p>
    <w:p w:rsidR="006B4CAB" w:rsidRPr="00E50D4D" w:rsidRDefault="006B4CAB" w:rsidP="006B4CAB">
      <w:pPr>
        <w:spacing w:before="40"/>
        <w:ind w:firstLine="567"/>
        <w:jc w:val="both"/>
        <w:rPr>
          <w:spacing w:val="-2"/>
        </w:rPr>
      </w:pPr>
      <w:r>
        <w:rPr>
          <w:spacing w:val="-2"/>
        </w:rPr>
        <w:t>Проанализированы р</w:t>
      </w:r>
      <w:r w:rsidRPr="00E50D4D">
        <w:rPr>
          <w:spacing w:val="-2"/>
        </w:rPr>
        <w:t xml:space="preserve">асходы на содержание органов местного самоуправления </w:t>
      </w:r>
      <w:r>
        <w:rPr>
          <w:spacing w:val="-2"/>
        </w:rPr>
        <w:t>на соо</w:t>
      </w:r>
      <w:r>
        <w:rPr>
          <w:spacing w:val="-2"/>
        </w:rPr>
        <w:t>т</w:t>
      </w:r>
      <w:r>
        <w:rPr>
          <w:spacing w:val="-2"/>
        </w:rPr>
        <w:t>ветствие</w:t>
      </w:r>
      <w:r w:rsidRPr="00E50D4D">
        <w:rPr>
          <w:spacing w:val="-2"/>
        </w:rPr>
        <w:t xml:space="preserve"> нормативу, установленному постановлением администрации Новосибирской области от 28.12.2007 № 206-па</w:t>
      </w:r>
      <w:r>
        <w:rPr>
          <w:spacing w:val="-2"/>
        </w:rPr>
        <w:t>.</w:t>
      </w:r>
    </w:p>
    <w:p w:rsidR="006B4CAB" w:rsidRPr="006F10F8" w:rsidRDefault="006B4CAB" w:rsidP="006B4CAB">
      <w:pPr>
        <w:spacing w:before="40"/>
        <w:ind w:firstLine="567"/>
        <w:jc w:val="both"/>
      </w:pPr>
      <w:r w:rsidRPr="006F10F8">
        <w:t xml:space="preserve">Расходы на содержание органов местного самоуправления соответствуют нормативу, установленному постановлением администрации Новосибирской области от 28.12.2007 № 206-па. При нормативе </w:t>
      </w:r>
      <w:r>
        <w:t>2485,4</w:t>
      </w:r>
      <w:r w:rsidRPr="006F10F8">
        <w:t xml:space="preserve"> тыс. руб. (</w:t>
      </w:r>
      <w:r>
        <w:t>1695</w:t>
      </w:r>
      <w:r w:rsidRPr="006F10F8">
        <w:t xml:space="preserve"> человек * </w:t>
      </w:r>
      <w:r>
        <w:t>1466,3</w:t>
      </w:r>
      <w:r w:rsidRPr="006F10F8">
        <w:t xml:space="preserve"> руб.) исполнение составляет </w:t>
      </w:r>
      <w:r>
        <w:t>2351,8</w:t>
      </w:r>
      <w:r w:rsidRPr="006F10F8">
        <w:t xml:space="preserve"> тыс. руб. </w:t>
      </w:r>
      <w:r w:rsidRPr="008E497E">
        <w:rPr>
          <w:spacing w:val="-2"/>
        </w:rPr>
        <w:t xml:space="preserve">Тем самым </w:t>
      </w:r>
      <w:r>
        <w:rPr>
          <w:spacing w:val="-2"/>
        </w:rPr>
        <w:t xml:space="preserve">выполняется </w:t>
      </w:r>
      <w:r w:rsidRPr="008E497E">
        <w:rPr>
          <w:spacing w:val="-2"/>
        </w:rPr>
        <w:t>пункт 2 статьи 136 БК РФ.</w:t>
      </w:r>
    </w:p>
    <w:p w:rsidR="006B4CAB" w:rsidRPr="00BD6D11" w:rsidRDefault="006B4CAB" w:rsidP="006B4CAB">
      <w:pPr>
        <w:spacing w:before="40"/>
        <w:ind w:firstLine="567"/>
        <w:jc w:val="both"/>
        <w:rPr>
          <w:i/>
          <w:spacing w:val="-4"/>
          <w:sz w:val="20"/>
          <w:szCs w:val="20"/>
        </w:rPr>
      </w:pPr>
      <w:r w:rsidRPr="00BD6D11">
        <w:rPr>
          <w:i/>
          <w:color w:val="000000"/>
          <w:spacing w:val="-4"/>
          <w:sz w:val="20"/>
          <w:szCs w:val="20"/>
        </w:rPr>
        <w:t>Для расчёта норматива использована численность населения по данным органа статистики на  01.01.</w:t>
      </w:r>
      <w:r>
        <w:rPr>
          <w:i/>
          <w:color w:val="000000"/>
          <w:spacing w:val="-4"/>
          <w:sz w:val="20"/>
          <w:szCs w:val="20"/>
        </w:rPr>
        <w:t>2014</w:t>
      </w:r>
      <w:r w:rsidRPr="00BD6D11">
        <w:rPr>
          <w:i/>
          <w:color w:val="000000"/>
          <w:spacing w:val="-4"/>
          <w:sz w:val="20"/>
          <w:szCs w:val="20"/>
        </w:rPr>
        <w:t xml:space="preserve"> – </w:t>
      </w:r>
      <w:r>
        <w:rPr>
          <w:i/>
          <w:color w:val="000000"/>
          <w:spacing w:val="-4"/>
          <w:sz w:val="20"/>
          <w:szCs w:val="20"/>
        </w:rPr>
        <w:t>1695</w:t>
      </w:r>
      <w:r w:rsidRPr="00BD6D11">
        <w:rPr>
          <w:i/>
          <w:color w:val="000000"/>
          <w:spacing w:val="-4"/>
          <w:sz w:val="20"/>
          <w:szCs w:val="20"/>
        </w:rPr>
        <w:t xml:space="preserve"> человек согласно</w:t>
      </w:r>
      <w:r w:rsidRPr="00BD6D11">
        <w:rPr>
          <w:i/>
          <w:spacing w:val="-4"/>
          <w:sz w:val="20"/>
          <w:szCs w:val="20"/>
        </w:rPr>
        <w:t xml:space="preserve"> постановлению администрации Новосибирской области от 28.12.2007 № 206-па.</w:t>
      </w:r>
    </w:p>
    <w:p w:rsidR="004A13B7" w:rsidRPr="0029403D" w:rsidRDefault="004A13B7" w:rsidP="00C367D5">
      <w:pPr>
        <w:spacing w:before="40"/>
        <w:ind w:firstLine="567"/>
        <w:jc w:val="both"/>
      </w:pPr>
      <w:r w:rsidRPr="0029403D">
        <w:rPr>
          <w:b/>
        </w:rPr>
        <w:lastRenderedPageBreak/>
        <w:t xml:space="preserve">По разделу 02 «Национальная оборона» </w:t>
      </w:r>
      <w:r w:rsidR="00C800CC" w:rsidRPr="0029403D">
        <w:t xml:space="preserve">расходы в </w:t>
      </w:r>
      <w:r w:rsidR="007F2993">
        <w:t>2014</w:t>
      </w:r>
      <w:r w:rsidR="00C800CC" w:rsidRPr="0029403D">
        <w:t xml:space="preserve"> году исполнены в объёме </w:t>
      </w:r>
      <w:r w:rsidR="006B4CAB">
        <w:t>72,7</w:t>
      </w:r>
      <w:r w:rsidR="00C800CC" w:rsidRPr="0029403D">
        <w:t> тыс. руб. или 100% к плану.</w:t>
      </w:r>
      <w:r w:rsidR="00F34DB4" w:rsidRPr="0029403D">
        <w:t xml:space="preserve"> Удельный вес разде</w:t>
      </w:r>
      <w:r w:rsidR="00D41CF5">
        <w:t>ла</w:t>
      </w:r>
      <w:r w:rsidR="000252AD">
        <w:t xml:space="preserve"> в расходах бюджета составил </w:t>
      </w:r>
      <w:r w:rsidR="00025A3A">
        <w:t>0</w:t>
      </w:r>
      <w:r w:rsidR="000252AD">
        <w:t>,</w:t>
      </w:r>
      <w:r w:rsidR="006B4CAB">
        <w:t>3</w:t>
      </w:r>
      <w:r w:rsidR="00F34DB4" w:rsidRPr="0029403D">
        <w:t>%.</w:t>
      </w:r>
    </w:p>
    <w:p w:rsidR="00104D65" w:rsidRPr="005128C4" w:rsidRDefault="00104D65" w:rsidP="00D85D04">
      <w:pPr>
        <w:spacing w:before="60"/>
        <w:ind w:firstLine="567"/>
        <w:jc w:val="both"/>
        <w:rPr>
          <w:spacing w:val="-4"/>
        </w:rPr>
      </w:pPr>
      <w:r w:rsidRPr="005128C4">
        <w:rPr>
          <w:b/>
          <w:spacing w:val="-4"/>
        </w:rPr>
        <w:t xml:space="preserve">По разделу 03 «Национальная безопасность и правоохранительная деятельность» </w:t>
      </w:r>
      <w:r w:rsidRPr="005128C4">
        <w:rPr>
          <w:spacing w:val="-4"/>
        </w:rPr>
        <w:t xml:space="preserve">расходы в </w:t>
      </w:r>
      <w:r w:rsidR="007F2993">
        <w:rPr>
          <w:spacing w:val="-4"/>
        </w:rPr>
        <w:t>2014</w:t>
      </w:r>
      <w:r w:rsidRPr="005128C4">
        <w:rPr>
          <w:spacing w:val="-4"/>
        </w:rPr>
        <w:t xml:space="preserve"> году исполнены в объёме </w:t>
      </w:r>
      <w:r w:rsidR="006B4CAB">
        <w:rPr>
          <w:spacing w:val="-4"/>
        </w:rPr>
        <w:t>624,1</w:t>
      </w:r>
      <w:r w:rsidRPr="005128C4">
        <w:rPr>
          <w:spacing w:val="-4"/>
        </w:rPr>
        <w:t xml:space="preserve"> тыс. руб. или </w:t>
      </w:r>
      <w:r w:rsidR="006B4CAB">
        <w:rPr>
          <w:spacing w:val="-4"/>
        </w:rPr>
        <w:t>99,9</w:t>
      </w:r>
      <w:r w:rsidR="00F6136D" w:rsidRPr="005128C4">
        <w:rPr>
          <w:spacing w:val="-4"/>
        </w:rPr>
        <w:t>%</w:t>
      </w:r>
      <w:r w:rsidRPr="005128C4">
        <w:rPr>
          <w:spacing w:val="-4"/>
        </w:rPr>
        <w:t xml:space="preserve"> к плану</w:t>
      </w:r>
      <w:r w:rsidR="005128C4">
        <w:rPr>
          <w:spacing w:val="-4"/>
        </w:rPr>
        <w:t xml:space="preserve"> </w:t>
      </w:r>
      <w:r w:rsidR="005128C4" w:rsidRPr="0029403D">
        <w:t>(</w:t>
      </w:r>
      <w:r w:rsidR="005128C4">
        <w:t>недоисполнение</w:t>
      </w:r>
      <w:r w:rsidR="005128C4" w:rsidRPr="0029403D">
        <w:t xml:space="preserve"> – </w:t>
      </w:r>
      <w:r w:rsidR="006B4CAB">
        <w:t>0,9</w:t>
      </w:r>
      <w:r w:rsidR="005128C4" w:rsidRPr="0029403D">
        <w:t xml:space="preserve"> тыс. руб.).</w:t>
      </w:r>
      <w:r w:rsidR="0028377B" w:rsidRPr="005128C4">
        <w:rPr>
          <w:spacing w:val="-4"/>
        </w:rPr>
        <w:t xml:space="preserve"> </w:t>
      </w:r>
      <w:r w:rsidRPr="005128C4">
        <w:rPr>
          <w:spacing w:val="-4"/>
        </w:rPr>
        <w:t xml:space="preserve">Удельный вес раздела в расходах бюджета составил </w:t>
      </w:r>
      <w:r w:rsidR="006B4CAB">
        <w:rPr>
          <w:spacing w:val="-4"/>
        </w:rPr>
        <w:t>2</w:t>
      </w:r>
      <w:r w:rsidR="00030C63" w:rsidRPr="005128C4">
        <w:rPr>
          <w:spacing w:val="-4"/>
        </w:rPr>
        <w:t>,8</w:t>
      </w:r>
      <w:r w:rsidRPr="005128C4">
        <w:rPr>
          <w:spacing w:val="-4"/>
        </w:rPr>
        <w:t>%.</w:t>
      </w:r>
    </w:p>
    <w:p w:rsidR="005128C4" w:rsidRPr="00A3799B" w:rsidRDefault="00981218" w:rsidP="005128C4">
      <w:pPr>
        <w:spacing w:before="60"/>
        <w:ind w:firstLine="567"/>
        <w:jc w:val="both"/>
        <w:rPr>
          <w:spacing w:val="-2"/>
        </w:rPr>
      </w:pPr>
      <w:r w:rsidRPr="00A3799B">
        <w:rPr>
          <w:b/>
          <w:spacing w:val="-2"/>
        </w:rPr>
        <w:t>По разделу 0</w:t>
      </w:r>
      <w:r w:rsidR="0068375C" w:rsidRPr="00A3799B">
        <w:rPr>
          <w:b/>
          <w:spacing w:val="-2"/>
        </w:rPr>
        <w:t>4</w:t>
      </w:r>
      <w:r w:rsidRPr="00A3799B">
        <w:rPr>
          <w:b/>
          <w:spacing w:val="-2"/>
        </w:rPr>
        <w:t xml:space="preserve"> «Национальная экономика» </w:t>
      </w:r>
      <w:r w:rsidRPr="00A3799B">
        <w:rPr>
          <w:spacing w:val="-2"/>
        </w:rPr>
        <w:t xml:space="preserve">расходы в </w:t>
      </w:r>
      <w:r w:rsidR="007F2993" w:rsidRPr="00A3799B">
        <w:rPr>
          <w:spacing w:val="-2"/>
        </w:rPr>
        <w:t>2014</w:t>
      </w:r>
      <w:r w:rsidRPr="00A3799B">
        <w:rPr>
          <w:spacing w:val="-2"/>
        </w:rPr>
        <w:t xml:space="preserve"> году исполнены в объёме </w:t>
      </w:r>
      <w:r w:rsidR="006B4CAB" w:rsidRPr="00A3799B">
        <w:rPr>
          <w:spacing w:val="-2"/>
        </w:rPr>
        <w:t>6016,3</w:t>
      </w:r>
      <w:r w:rsidRPr="00A3799B">
        <w:rPr>
          <w:spacing w:val="-2"/>
        </w:rPr>
        <w:t xml:space="preserve"> тыс. руб. или </w:t>
      </w:r>
      <w:r w:rsidR="006B4CAB" w:rsidRPr="00A3799B">
        <w:rPr>
          <w:spacing w:val="-2"/>
        </w:rPr>
        <w:t>92,5</w:t>
      </w:r>
      <w:r w:rsidRPr="00A3799B">
        <w:rPr>
          <w:spacing w:val="-2"/>
        </w:rPr>
        <w:t>% к плану</w:t>
      </w:r>
      <w:r w:rsidR="005128C4" w:rsidRPr="00A3799B">
        <w:rPr>
          <w:spacing w:val="-2"/>
        </w:rPr>
        <w:t xml:space="preserve"> (недоисполнение – </w:t>
      </w:r>
      <w:r w:rsidR="006B4CAB" w:rsidRPr="00A3799B">
        <w:rPr>
          <w:spacing w:val="-2"/>
        </w:rPr>
        <w:t>488,4</w:t>
      </w:r>
      <w:r w:rsidR="005128C4" w:rsidRPr="00A3799B">
        <w:rPr>
          <w:spacing w:val="-2"/>
        </w:rPr>
        <w:t xml:space="preserve"> тыс. руб.)</w:t>
      </w:r>
      <w:r w:rsidRPr="00A3799B">
        <w:rPr>
          <w:spacing w:val="-2"/>
        </w:rPr>
        <w:t xml:space="preserve">. Удельный вес раздела в расходах бюджета составил </w:t>
      </w:r>
      <w:r w:rsidR="006B4CAB" w:rsidRPr="00A3799B">
        <w:rPr>
          <w:spacing w:val="-2"/>
        </w:rPr>
        <w:t>26,9</w:t>
      </w:r>
      <w:r w:rsidRPr="00A3799B">
        <w:rPr>
          <w:spacing w:val="-2"/>
        </w:rPr>
        <w:t>%.</w:t>
      </w:r>
      <w:r w:rsidR="00447E5B" w:rsidRPr="00A3799B">
        <w:rPr>
          <w:spacing w:val="-2"/>
        </w:rPr>
        <w:t xml:space="preserve"> </w:t>
      </w:r>
      <w:r w:rsidR="005128C4" w:rsidRPr="00A3799B">
        <w:rPr>
          <w:spacing w:val="-2"/>
        </w:rPr>
        <w:t>Согласно данным формы 0503164 «Сведения об исполн</w:t>
      </w:r>
      <w:r w:rsidR="005128C4" w:rsidRPr="00A3799B">
        <w:rPr>
          <w:spacing w:val="-2"/>
        </w:rPr>
        <w:t>е</w:t>
      </w:r>
      <w:r w:rsidR="005128C4" w:rsidRPr="00A3799B">
        <w:rPr>
          <w:spacing w:val="-2"/>
        </w:rPr>
        <w:t xml:space="preserve">нии бюджета» неисполнение плана по данному разделу связано </w:t>
      </w:r>
      <w:r w:rsidR="00A3799B" w:rsidRPr="00A3799B">
        <w:rPr>
          <w:spacing w:val="-2"/>
        </w:rPr>
        <w:t xml:space="preserve">с </w:t>
      </w:r>
      <w:proofErr w:type="spellStart"/>
      <w:r w:rsidR="00A3799B" w:rsidRPr="00A3799B">
        <w:rPr>
          <w:spacing w:val="-2"/>
        </w:rPr>
        <w:t>непоступлением</w:t>
      </w:r>
      <w:proofErr w:type="spellEnd"/>
      <w:r w:rsidR="00A3799B" w:rsidRPr="00A3799B">
        <w:rPr>
          <w:spacing w:val="-2"/>
        </w:rPr>
        <w:t xml:space="preserve"> средств из бюджета муниципального района по причине недопоступления доходов от уплаты акцизов на нефтепродукты. Согласно пояснительной записке увеличение расходов по данному разделу по отношению к 2013 году связано с капитальным ремонтом </w:t>
      </w:r>
      <w:proofErr w:type="spellStart"/>
      <w:r w:rsidR="00A3799B" w:rsidRPr="00A3799B">
        <w:rPr>
          <w:spacing w:val="-2"/>
        </w:rPr>
        <w:t>внутрипоселенческих</w:t>
      </w:r>
      <w:proofErr w:type="spellEnd"/>
      <w:r w:rsidR="00A3799B" w:rsidRPr="00A3799B">
        <w:rPr>
          <w:spacing w:val="-2"/>
        </w:rPr>
        <w:t xml:space="preserve"> дорог.</w:t>
      </w:r>
    </w:p>
    <w:p w:rsidR="00A3799B" w:rsidRDefault="004A13B7" w:rsidP="00D85D04">
      <w:pPr>
        <w:spacing w:before="60"/>
        <w:ind w:firstLine="567"/>
        <w:jc w:val="both"/>
        <w:rPr>
          <w:spacing w:val="-2"/>
        </w:rPr>
      </w:pPr>
      <w:r w:rsidRPr="005128C4">
        <w:rPr>
          <w:b/>
          <w:spacing w:val="-2"/>
        </w:rPr>
        <w:t>По разделу 05 «Жилищно-коммунальное хозяйство»</w:t>
      </w:r>
      <w:r w:rsidRPr="005128C4">
        <w:rPr>
          <w:spacing w:val="-2"/>
        </w:rPr>
        <w:t xml:space="preserve"> </w:t>
      </w:r>
      <w:r w:rsidR="00C800CC" w:rsidRPr="005128C4">
        <w:rPr>
          <w:spacing w:val="-2"/>
        </w:rPr>
        <w:t xml:space="preserve">расходы в </w:t>
      </w:r>
      <w:r w:rsidR="007F2993">
        <w:rPr>
          <w:spacing w:val="-2"/>
        </w:rPr>
        <w:t>2014</w:t>
      </w:r>
      <w:r w:rsidR="00C800CC" w:rsidRPr="005128C4">
        <w:rPr>
          <w:spacing w:val="-2"/>
        </w:rPr>
        <w:t xml:space="preserve"> году исполнены в объёме </w:t>
      </w:r>
      <w:r w:rsidR="006B4CAB">
        <w:rPr>
          <w:spacing w:val="-2"/>
        </w:rPr>
        <w:t>5605,4</w:t>
      </w:r>
      <w:r w:rsidR="00C800CC" w:rsidRPr="005128C4">
        <w:rPr>
          <w:spacing w:val="-2"/>
        </w:rPr>
        <w:t xml:space="preserve"> тыс. руб. или </w:t>
      </w:r>
      <w:r w:rsidR="006B4CAB">
        <w:rPr>
          <w:spacing w:val="-2"/>
        </w:rPr>
        <w:t>99,1</w:t>
      </w:r>
      <w:r w:rsidR="00C800CC" w:rsidRPr="005128C4">
        <w:rPr>
          <w:spacing w:val="-2"/>
        </w:rPr>
        <w:t>% к плану</w:t>
      </w:r>
      <w:r w:rsidR="005128C4">
        <w:rPr>
          <w:spacing w:val="-2"/>
        </w:rPr>
        <w:t xml:space="preserve"> </w:t>
      </w:r>
      <w:r w:rsidR="005128C4" w:rsidRPr="0029403D">
        <w:t>(</w:t>
      </w:r>
      <w:r w:rsidR="005128C4">
        <w:t>недоисполнение</w:t>
      </w:r>
      <w:r w:rsidR="005128C4" w:rsidRPr="0029403D">
        <w:t xml:space="preserve"> – </w:t>
      </w:r>
      <w:r w:rsidR="006B4CAB">
        <w:t>52,8</w:t>
      </w:r>
      <w:r w:rsidR="005128C4" w:rsidRPr="0029403D">
        <w:t xml:space="preserve"> тыс. руб.)</w:t>
      </w:r>
      <w:r w:rsidR="00A94EB3" w:rsidRPr="005128C4">
        <w:rPr>
          <w:spacing w:val="-2"/>
        </w:rPr>
        <w:t>.</w:t>
      </w:r>
      <w:r w:rsidR="00F34DB4" w:rsidRPr="005128C4">
        <w:rPr>
          <w:spacing w:val="-2"/>
        </w:rPr>
        <w:t xml:space="preserve"> Удельный вес раздела в расходах бюджета составил </w:t>
      </w:r>
      <w:r w:rsidR="006B4CAB">
        <w:rPr>
          <w:spacing w:val="-2"/>
        </w:rPr>
        <w:t>25,1</w:t>
      </w:r>
      <w:r w:rsidR="00F34DB4" w:rsidRPr="005128C4">
        <w:rPr>
          <w:spacing w:val="-2"/>
        </w:rPr>
        <w:t>%.</w:t>
      </w:r>
      <w:r w:rsidR="005128C4" w:rsidRPr="005128C4">
        <w:rPr>
          <w:spacing w:val="-2"/>
        </w:rPr>
        <w:t xml:space="preserve"> </w:t>
      </w:r>
      <w:r w:rsidR="00A3799B" w:rsidRPr="00A3799B">
        <w:rPr>
          <w:spacing w:val="-2"/>
        </w:rPr>
        <w:t>Согласно пояснительной записке увеличение расходов по данному разделу по отношению к 2013 году связано с капитальным ремонтом</w:t>
      </w:r>
      <w:r w:rsidR="00A3799B">
        <w:rPr>
          <w:spacing w:val="-2"/>
        </w:rPr>
        <w:t xml:space="preserve"> в</w:t>
      </w:r>
      <w:r w:rsidR="00A3799B">
        <w:rPr>
          <w:spacing w:val="-2"/>
        </w:rPr>
        <w:t>о</w:t>
      </w:r>
      <w:r w:rsidR="00A3799B">
        <w:rPr>
          <w:spacing w:val="-2"/>
        </w:rPr>
        <w:t>допроводов и погашением кредиторской задолженности за строительство газопроводов.</w:t>
      </w:r>
    </w:p>
    <w:p w:rsidR="009262CF" w:rsidRPr="0029403D" w:rsidRDefault="004A13B7" w:rsidP="00D85D04">
      <w:pPr>
        <w:spacing w:before="60"/>
        <w:ind w:firstLine="567"/>
        <w:jc w:val="both"/>
      </w:pPr>
      <w:r w:rsidRPr="0029403D">
        <w:rPr>
          <w:b/>
        </w:rPr>
        <w:t>По разделу 08 «Культура, кинематография»</w:t>
      </w:r>
      <w:r w:rsidRPr="0029403D">
        <w:t xml:space="preserve"> </w:t>
      </w:r>
      <w:r w:rsidR="009262CF" w:rsidRPr="0029403D">
        <w:t xml:space="preserve">расходы в </w:t>
      </w:r>
      <w:r w:rsidR="007F2993">
        <w:t>2014</w:t>
      </w:r>
      <w:r w:rsidR="009262CF" w:rsidRPr="0029403D">
        <w:t xml:space="preserve"> году исполнены в объ</w:t>
      </w:r>
      <w:r w:rsidR="009262CF" w:rsidRPr="0029403D">
        <w:t>ё</w:t>
      </w:r>
      <w:r w:rsidR="009262CF" w:rsidRPr="0029403D">
        <w:t xml:space="preserve">ме </w:t>
      </w:r>
      <w:r w:rsidR="006B4CAB">
        <w:t>6958,1</w:t>
      </w:r>
      <w:r w:rsidR="009262CF" w:rsidRPr="0029403D">
        <w:t xml:space="preserve"> тыс. руб. или </w:t>
      </w:r>
      <w:r w:rsidR="006B4CAB">
        <w:t>96,0</w:t>
      </w:r>
      <w:r w:rsidR="009262CF" w:rsidRPr="0029403D">
        <w:t>% к плану</w:t>
      </w:r>
      <w:r w:rsidR="009F7257">
        <w:t xml:space="preserve"> </w:t>
      </w:r>
      <w:r w:rsidR="009F7257" w:rsidRPr="0029403D">
        <w:t>(</w:t>
      </w:r>
      <w:r w:rsidR="009F7257">
        <w:t>недоисполнение</w:t>
      </w:r>
      <w:r w:rsidR="009F7257" w:rsidRPr="0029403D">
        <w:t xml:space="preserve"> – </w:t>
      </w:r>
      <w:r w:rsidR="006B4CAB">
        <w:t>287,2</w:t>
      </w:r>
      <w:r w:rsidR="009F7257" w:rsidRPr="0029403D">
        <w:t xml:space="preserve"> тыс. руб.)</w:t>
      </w:r>
      <w:r w:rsidR="009262CF" w:rsidRPr="0029403D">
        <w:t>.</w:t>
      </w:r>
      <w:r w:rsidR="00F34DB4" w:rsidRPr="0029403D">
        <w:t xml:space="preserve"> </w:t>
      </w:r>
      <w:r w:rsidR="00F34DB4" w:rsidRPr="006B4CAB">
        <w:rPr>
          <w:i/>
          <w:u w:val="single"/>
        </w:rPr>
        <w:t>Удельный вес ра</w:t>
      </w:r>
      <w:r w:rsidR="00F34DB4" w:rsidRPr="006B4CAB">
        <w:rPr>
          <w:i/>
          <w:u w:val="single"/>
        </w:rPr>
        <w:t>з</w:t>
      </w:r>
      <w:r w:rsidR="00F34DB4" w:rsidRPr="006B4CAB">
        <w:rPr>
          <w:i/>
          <w:u w:val="single"/>
        </w:rPr>
        <w:t xml:space="preserve">дела в расходах бюджета составил </w:t>
      </w:r>
      <w:r w:rsidR="006B4CAB" w:rsidRPr="006B4CAB">
        <w:rPr>
          <w:i/>
          <w:u w:val="single"/>
        </w:rPr>
        <w:t>31</w:t>
      </w:r>
      <w:r w:rsidR="005128C4" w:rsidRPr="006B4CAB">
        <w:rPr>
          <w:i/>
          <w:u w:val="single"/>
        </w:rPr>
        <w:t>,1</w:t>
      </w:r>
      <w:r w:rsidR="00F34DB4" w:rsidRPr="006B4CAB">
        <w:rPr>
          <w:i/>
          <w:u w:val="single"/>
        </w:rPr>
        <w:t>%.</w:t>
      </w:r>
    </w:p>
    <w:p w:rsidR="00F6136D" w:rsidRDefault="004A13B7" w:rsidP="00D85D04">
      <w:pPr>
        <w:spacing w:before="60"/>
        <w:ind w:firstLine="567"/>
        <w:jc w:val="both"/>
      </w:pPr>
      <w:r w:rsidRPr="0029403D">
        <w:rPr>
          <w:b/>
          <w:bCs/>
        </w:rPr>
        <w:t>По разделу 10 «Социальная политика»</w:t>
      </w:r>
      <w:r w:rsidRPr="0029403D">
        <w:rPr>
          <w:bCs/>
        </w:rPr>
        <w:t xml:space="preserve"> </w:t>
      </w:r>
      <w:r w:rsidR="009262CF" w:rsidRPr="0029403D">
        <w:t xml:space="preserve">расходы в </w:t>
      </w:r>
      <w:r w:rsidR="007F2993">
        <w:t>2014</w:t>
      </w:r>
      <w:r w:rsidR="009262CF" w:rsidRPr="0029403D">
        <w:t xml:space="preserve"> году исполнены в объёме </w:t>
      </w:r>
      <w:r w:rsidR="006B4CAB">
        <w:t>60,3</w:t>
      </w:r>
      <w:r w:rsidR="009262CF" w:rsidRPr="0029403D">
        <w:t xml:space="preserve"> тыс. руб. или </w:t>
      </w:r>
      <w:r w:rsidR="00813423">
        <w:t>94,8</w:t>
      </w:r>
      <w:r w:rsidR="00D55E5F" w:rsidRPr="0029403D">
        <w:t>% к плану</w:t>
      </w:r>
      <w:r w:rsidR="005128C4">
        <w:t xml:space="preserve"> </w:t>
      </w:r>
      <w:r w:rsidR="005128C4" w:rsidRPr="0029403D">
        <w:t>(</w:t>
      </w:r>
      <w:r w:rsidR="005128C4">
        <w:t>недоисполнение</w:t>
      </w:r>
      <w:r w:rsidR="005128C4" w:rsidRPr="0029403D">
        <w:t xml:space="preserve"> – </w:t>
      </w:r>
      <w:r w:rsidR="006B4CAB">
        <w:t>3,3</w:t>
      </w:r>
      <w:r w:rsidR="005128C4" w:rsidRPr="0029403D">
        <w:t xml:space="preserve"> тыс. руб.)</w:t>
      </w:r>
      <w:r w:rsidR="00D55E5F">
        <w:t>.</w:t>
      </w:r>
      <w:r w:rsidR="00D55E5F" w:rsidRPr="0029403D">
        <w:t xml:space="preserve"> </w:t>
      </w:r>
      <w:r w:rsidR="00F34DB4" w:rsidRPr="0029403D">
        <w:t>Удельный вес раздела в расходах бюджета составил 0,</w:t>
      </w:r>
      <w:r w:rsidR="006B4CAB">
        <w:t>3</w:t>
      </w:r>
      <w:r w:rsidR="00F34DB4" w:rsidRPr="0029403D">
        <w:t>%.</w:t>
      </w:r>
    </w:p>
    <w:p w:rsidR="0063708A" w:rsidRPr="00A3799B" w:rsidRDefault="00152E13" w:rsidP="00A3799B">
      <w:pPr>
        <w:spacing w:before="120"/>
        <w:ind w:firstLine="567"/>
        <w:jc w:val="both"/>
        <w:rPr>
          <w:b/>
        </w:rPr>
      </w:pPr>
      <w:r w:rsidRPr="00A3799B">
        <w:rPr>
          <w:b/>
        </w:rPr>
        <w:t>Вывод</w:t>
      </w:r>
      <w:r w:rsidR="0063708A" w:rsidRPr="00A3799B">
        <w:rPr>
          <w:b/>
        </w:rPr>
        <w:t>: годо</w:t>
      </w:r>
      <w:r w:rsidR="009C4093" w:rsidRPr="00A3799B">
        <w:rPr>
          <w:b/>
        </w:rPr>
        <w:t xml:space="preserve">вой отчёт об исполнении бюджета </w:t>
      </w:r>
      <w:r w:rsidR="00212843" w:rsidRPr="00A3799B">
        <w:rPr>
          <w:b/>
        </w:rPr>
        <w:t>Беркутов</w:t>
      </w:r>
      <w:r w:rsidR="009C4093" w:rsidRPr="00A3799B">
        <w:rPr>
          <w:b/>
        </w:rPr>
        <w:t>ского сельсовета Карга</w:t>
      </w:r>
      <w:r w:rsidR="009C4093" w:rsidRPr="00A3799B">
        <w:rPr>
          <w:b/>
        </w:rPr>
        <w:t>т</w:t>
      </w:r>
      <w:r w:rsidR="009C4093" w:rsidRPr="00A3799B">
        <w:rPr>
          <w:b/>
        </w:rPr>
        <w:t xml:space="preserve">ского района Новосибирской области за </w:t>
      </w:r>
      <w:r w:rsidR="007F2993" w:rsidRPr="00A3799B">
        <w:rPr>
          <w:b/>
        </w:rPr>
        <w:t>2014</w:t>
      </w:r>
      <w:r w:rsidR="009C4093" w:rsidRPr="00A3799B">
        <w:rPr>
          <w:b/>
        </w:rPr>
        <w:t xml:space="preserve"> год признать достоверным.</w:t>
      </w:r>
    </w:p>
    <w:p w:rsidR="006B4CAB" w:rsidRPr="00F435AA" w:rsidRDefault="006B4CAB" w:rsidP="006B4CAB">
      <w:pPr>
        <w:spacing w:before="180" w:after="120"/>
        <w:ind w:firstLine="567"/>
        <w:jc w:val="both"/>
      </w:pPr>
      <w:r w:rsidRPr="00F435AA">
        <w:t xml:space="preserve">Учитывая </w:t>
      </w:r>
      <w:proofErr w:type="gramStart"/>
      <w:r w:rsidRPr="00F435AA">
        <w:t>изложенное</w:t>
      </w:r>
      <w:proofErr w:type="gramEnd"/>
      <w:r w:rsidRPr="00F435AA">
        <w:t>, Ревизионная комиссия предлагает:</w:t>
      </w:r>
    </w:p>
    <w:p w:rsidR="006B4CAB" w:rsidRPr="006F10F8" w:rsidRDefault="006B4CAB" w:rsidP="006B4CAB">
      <w:pPr>
        <w:ind w:firstLine="567"/>
        <w:rPr>
          <w:b/>
          <w:i/>
        </w:rPr>
      </w:pPr>
      <w:r w:rsidRPr="006F10F8">
        <w:rPr>
          <w:b/>
          <w:i/>
        </w:rPr>
        <w:t xml:space="preserve">Администрации </w:t>
      </w:r>
      <w:r w:rsidRPr="006B4CAB">
        <w:rPr>
          <w:b/>
          <w:i/>
        </w:rPr>
        <w:t>Беркутовского</w:t>
      </w:r>
      <w:r w:rsidRPr="0029403D">
        <w:t xml:space="preserve"> </w:t>
      </w:r>
      <w:r w:rsidRPr="006F10F8">
        <w:rPr>
          <w:b/>
          <w:i/>
        </w:rPr>
        <w:t>сельсовета:</w:t>
      </w:r>
    </w:p>
    <w:p w:rsidR="00A3799B" w:rsidRDefault="00A3799B" w:rsidP="00A3799B">
      <w:pPr>
        <w:spacing w:before="60"/>
        <w:ind w:firstLine="567"/>
        <w:jc w:val="both"/>
      </w:pPr>
      <w:r>
        <w:t>1) отчёт об исполнении местного бюджета должен предоставляться на внешнюю пр</w:t>
      </w:r>
      <w:r>
        <w:t>о</w:t>
      </w:r>
      <w:r>
        <w:t>верку строго в срок, установленный</w:t>
      </w:r>
      <w:r w:rsidRPr="0051709E">
        <w:t xml:space="preserve"> пунктом 3 статьи 264.4 БК РФ</w:t>
      </w:r>
      <w:r>
        <w:t>;</w:t>
      </w:r>
    </w:p>
    <w:p w:rsidR="00A3799B" w:rsidRPr="00213F69" w:rsidRDefault="00A3799B" w:rsidP="00A3799B">
      <w:pPr>
        <w:spacing w:before="60"/>
        <w:ind w:firstLine="567"/>
        <w:jc w:val="both"/>
      </w:pPr>
      <w:r w:rsidRPr="00213F69">
        <w:t>2) при осуществлении закупок у единственного поставщика строго следовать подпун</w:t>
      </w:r>
      <w:r w:rsidRPr="00213F69">
        <w:t>к</w:t>
      </w:r>
      <w:r w:rsidRPr="00213F69">
        <w:t>ту 4 пункта 1 статьи 93 Федерального закона от 05.04.2013 № 44-ФЗ;</w:t>
      </w:r>
    </w:p>
    <w:p w:rsidR="00A3799B" w:rsidRDefault="00A3799B" w:rsidP="00A3799B">
      <w:pPr>
        <w:spacing w:before="60"/>
        <w:ind w:firstLine="567"/>
        <w:jc w:val="both"/>
      </w:pPr>
      <w:r>
        <w:t>3</w:t>
      </w:r>
      <w:r w:rsidRPr="0029403D">
        <w:t>) при ведении реестра закупок строго следовать пункту 2 статьи</w:t>
      </w:r>
      <w:r w:rsidR="001D07EB">
        <w:t xml:space="preserve"> 73 БК РФ;</w:t>
      </w:r>
    </w:p>
    <w:p w:rsidR="001D07EB" w:rsidRDefault="001D07EB" w:rsidP="00A3799B">
      <w:pPr>
        <w:spacing w:before="60"/>
        <w:ind w:firstLine="567"/>
        <w:jc w:val="both"/>
      </w:pPr>
      <w:r>
        <w:t>4) принять все</w:t>
      </w:r>
      <w:r w:rsidR="005D339A">
        <w:t xml:space="preserve"> меры</w:t>
      </w:r>
      <w:r>
        <w:t>, в том числе</w:t>
      </w:r>
      <w:r w:rsidR="005D339A">
        <w:t>,</w:t>
      </w:r>
      <w:r>
        <w:t xml:space="preserve"> обращение в Арбитражный суд, по оплате </w:t>
      </w:r>
      <w:r>
        <w:rPr>
          <w:color w:val="000000"/>
          <w:spacing w:val="-2"/>
        </w:rPr>
        <w:t xml:space="preserve">со стороны </w:t>
      </w:r>
      <w:proofErr w:type="spellStart"/>
      <w:r w:rsidR="007126F5">
        <w:rPr>
          <w:color w:val="000000"/>
          <w:spacing w:val="-2"/>
        </w:rPr>
        <w:t>ГБУЗ</w:t>
      </w:r>
      <w:proofErr w:type="spellEnd"/>
      <w:r w:rsidR="007126F5">
        <w:rPr>
          <w:color w:val="000000"/>
          <w:spacing w:val="-2"/>
        </w:rPr>
        <w:t xml:space="preserve"> НСО </w:t>
      </w:r>
      <w:r>
        <w:rPr>
          <w:color w:val="000000"/>
          <w:spacing w:val="-2"/>
        </w:rPr>
        <w:t xml:space="preserve">«Каргатская </w:t>
      </w:r>
      <w:proofErr w:type="spellStart"/>
      <w:r>
        <w:rPr>
          <w:color w:val="000000"/>
          <w:spacing w:val="-2"/>
        </w:rPr>
        <w:t>ЦРБ</w:t>
      </w:r>
      <w:proofErr w:type="spellEnd"/>
      <w:r>
        <w:rPr>
          <w:color w:val="000000"/>
          <w:spacing w:val="-2"/>
        </w:rPr>
        <w:t>» услуг связи в порядке возмещения затрат (22740,00 руб.).</w:t>
      </w:r>
    </w:p>
    <w:p w:rsidR="006B4CAB" w:rsidRPr="0029403D" w:rsidRDefault="006B4CAB" w:rsidP="006B4CAB">
      <w:pPr>
        <w:spacing w:before="120"/>
        <w:ind w:firstLine="567"/>
        <w:jc w:val="both"/>
      </w:pPr>
      <w:r w:rsidRPr="00A82072">
        <w:rPr>
          <w:b/>
          <w:i/>
        </w:rPr>
        <w:t xml:space="preserve">Совету депутатов </w:t>
      </w:r>
      <w:r w:rsidRPr="006B4CAB">
        <w:rPr>
          <w:b/>
          <w:i/>
        </w:rPr>
        <w:t>Беркутовского</w:t>
      </w:r>
      <w:r w:rsidRPr="0029403D">
        <w:t xml:space="preserve"> </w:t>
      </w:r>
      <w:r w:rsidRPr="00F435AA">
        <w:rPr>
          <w:b/>
          <w:i/>
        </w:rPr>
        <w:t>сельсовета</w:t>
      </w:r>
      <w:r>
        <w:rPr>
          <w:b/>
          <w:i/>
        </w:rPr>
        <w:t>:</w:t>
      </w:r>
      <w:r w:rsidRPr="00C056D0">
        <w:t xml:space="preserve"> учесть изложенные в настоящем з</w:t>
      </w:r>
      <w:r w:rsidRPr="00C056D0">
        <w:t>а</w:t>
      </w:r>
      <w:r w:rsidRPr="00C056D0">
        <w:t xml:space="preserve">ключении замечания при рассмотрении отчёта об исполнении бюджета </w:t>
      </w:r>
      <w:r w:rsidR="00A10B27">
        <w:t>Беркутов</w:t>
      </w:r>
      <w:r w:rsidR="00A10B27" w:rsidRPr="0029403D">
        <w:t xml:space="preserve">ского </w:t>
      </w:r>
      <w:r w:rsidRPr="0029403D">
        <w:t>сел</w:t>
      </w:r>
      <w:r w:rsidRPr="0029403D">
        <w:t>ь</w:t>
      </w:r>
      <w:r w:rsidRPr="0029403D">
        <w:t>совета Каргатского района Новосибирс</w:t>
      </w:r>
      <w:bookmarkStart w:id="0" w:name="_GoBack"/>
      <w:bookmarkEnd w:id="0"/>
      <w:r w:rsidRPr="0029403D">
        <w:t xml:space="preserve">кой области за </w:t>
      </w:r>
      <w:r>
        <w:t>2014</w:t>
      </w:r>
      <w:r w:rsidRPr="0029403D">
        <w:t xml:space="preserve"> год.</w:t>
      </w:r>
    </w:p>
    <w:p w:rsidR="006B4CAB" w:rsidRPr="0029403D" w:rsidRDefault="006B4CAB" w:rsidP="006B4CAB">
      <w:pPr>
        <w:spacing w:before="120"/>
        <w:ind w:firstLine="567"/>
        <w:jc w:val="both"/>
      </w:pPr>
      <w:r w:rsidRPr="0029403D">
        <w:t xml:space="preserve">Экспертное заключение направить главе </w:t>
      </w:r>
      <w:r>
        <w:t>Беркутов</w:t>
      </w:r>
      <w:r w:rsidRPr="0029403D">
        <w:t>ского сельсовета и председателю С</w:t>
      </w:r>
      <w:r w:rsidRPr="0029403D">
        <w:t>о</w:t>
      </w:r>
      <w:r w:rsidRPr="0029403D">
        <w:t xml:space="preserve">вета депутатов </w:t>
      </w:r>
      <w:r>
        <w:t>Беркутов</w:t>
      </w:r>
      <w:r w:rsidRPr="0029403D">
        <w:t>ского сельсовета.</w:t>
      </w:r>
    </w:p>
    <w:p w:rsidR="006B4CAB" w:rsidRPr="0029403D" w:rsidRDefault="006B4CAB" w:rsidP="006B4CAB"/>
    <w:p w:rsidR="006B4CAB" w:rsidRPr="0029403D" w:rsidRDefault="006B4CAB" w:rsidP="006B4CAB"/>
    <w:p w:rsidR="006B4CAB" w:rsidRPr="0029403D" w:rsidRDefault="006B4CAB" w:rsidP="006B4CAB"/>
    <w:p w:rsidR="006B4CAB" w:rsidRDefault="006B4CAB" w:rsidP="006B4CAB">
      <w:r>
        <w:t>Председатель</w:t>
      </w:r>
      <w:r w:rsidRPr="0029403D">
        <w:t xml:space="preserve"> </w:t>
      </w:r>
      <w:r>
        <w:t>Р</w:t>
      </w:r>
      <w:r w:rsidRPr="0029403D">
        <w:t>евизионной комиссии</w:t>
      </w:r>
      <w:r>
        <w:tab/>
      </w:r>
      <w:r>
        <w:tab/>
      </w:r>
      <w:r w:rsidRPr="0029403D">
        <w:tab/>
      </w:r>
      <w:r w:rsidRPr="0029403D">
        <w:tab/>
      </w:r>
      <w:r>
        <w:t>Т</w:t>
      </w:r>
      <w:r w:rsidRPr="0029403D">
        <w:t>.</w:t>
      </w:r>
      <w:r>
        <w:t>Г</w:t>
      </w:r>
      <w:r w:rsidRPr="0029403D">
        <w:t>.</w:t>
      </w:r>
      <w:r>
        <w:t xml:space="preserve"> Белоусова</w:t>
      </w:r>
      <w:r w:rsidRPr="0029403D">
        <w:tab/>
      </w:r>
    </w:p>
    <w:p w:rsidR="006B4CAB" w:rsidRDefault="006B4CAB" w:rsidP="006B4CAB">
      <w:pPr>
        <w:jc w:val="both"/>
      </w:pPr>
    </w:p>
    <w:p w:rsidR="006B4CAB" w:rsidRDefault="006B4CAB" w:rsidP="006B4CAB">
      <w:pPr>
        <w:jc w:val="both"/>
      </w:pPr>
    </w:p>
    <w:p w:rsidR="006B4CAB" w:rsidRDefault="006B4CAB" w:rsidP="006B4CAB">
      <w:pPr>
        <w:jc w:val="both"/>
      </w:pPr>
    </w:p>
    <w:p w:rsidR="00066440" w:rsidRPr="0029403D" w:rsidRDefault="006B4CAB" w:rsidP="00066440">
      <w:r w:rsidRPr="0029403D">
        <w:t xml:space="preserve">Инспектор </w:t>
      </w:r>
      <w:r>
        <w:t>Р</w:t>
      </w:r>
      <w:r w:rsidRPr="0029403D">
        <w:t>евизионной комиссии</w:t>
      </w:r>
      <w:r>
        <w:tab/>
      </w:r>
      <w:r>
        <w:tab/>
      </w:r>
      <w:r>
        <w:tab/>
      </w:r>
      <w:r>
        <w:tab/>
      </w:r>
      <w:r>
        <w:tab/>
        <w:t>А.В. Довгучиц</w:t>
      </w:r>
    </w:p>
    <w:sectPr w:rsidR="00066440" w:rsidRPr="0029403D" w:rsidSect="009413C4">
      <w:footerReference w:type="even" r:id="rId9"/>
      <w:footerReference w:type="default" r:id="rId10"/>
      <w:pgSz w:w="11906" w:h="16838" w:code="9"/>
      <w:pgMar w:top="851" w:right="851" w:bottom="851" w:left="141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637" w:rsidRDefault="009E4637">
      <w:r>
        <w:separator/>
      </w:r>
    </w:p>
  </w:endnote>
  <w:endnote w:type="continuationSeparator" w:id="0">
    <w:p w:rsidR="009E4637" w:rsidRDefault="009E4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3E1" w:rsidRDefault="001913E1" w:rsidP="00F85C4C">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913E1" w:rsidRDefault="001913E1" w:rsidP="006A699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3E1" w:rsidRPr="00340072" w:rsidRDefault="001913E1" w:rsidP="00F85C4C">
    <w:pPr>
      <w:pStyle w:val="aa"/>
      <w:framePr w:wrap="around" w:vAnchor="text" w:hAnchor="margin" w:xAlign="right" w:y="1"/>
      <w:rPr>
        <w:rStyle w:val="ab"/>
        <w:sz w:val="20"/>
        <w:szCs w:val="20"/>
      </w:rPr>
    </w:pPr>
    <w:r w:rsidRPr="00340072">
      <w:rPr>
        <w:rStyle w:val="ab"/>
        <w:sz w:val="20"/>
        <w:szCs w:val="20"/>
      </w:rPr>
      <w:fldChar w:fldCharType="begin"/>
    </w:r>
    <w:r w:rsidRPr="00340072">
      <w:rPr>
        <w:rStyle w:val="ab"/>
        <w:sz w:val="20"/>
        <w:szCs w:val="20"/>
      </w:rPr>
      <w:instrText xml:space="preserve">PAGE  </w:instrText>
    </w:r>
    <w:r w:rsidRPr="00340072">
      <w:rPr>
        <w:rStyle w:val="ab"/>
        <w:sz w:val="20"/>
        <w:szCs w:val="20"/>
      </w:rPr>
      <w:fldChar w:fldCharType="separate"/>
    </w:r>
    <w:r w:rsidR="007126F5">
      <w:rPr>
        <w:rStyle w:val="ab"/>
        <w:noProof/>
        <w:sz w:val="20"/>
        <w:szCs w:val="20"/>
      </w:rPr>
      <w:t>6</w:t>
    </w:r>
    <w:r w:rsidRPr="00340072">
      <w:rPr>
        <w:rStyle w:val="ab"/>
        <w:sz w:val="20"/>
        <w:szCs w:val="20"/>
      </w:rPr>
      <w:fldChar w:fldCharType="end"/>
    </w:r>
  </w:p>
  <w:p w:rsidR="001913E1" w:rsidRDefault="001913E1" w:rsidP="006A699B">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637" w:rsidRDefault="009E4637">
      <w:r>
        <w:separator/>
      </w:r>
    </w:p>
  </w:footnote>
  <w:footnote w:type="continuationSeparator" w:id="0">
    <w:p w:rsidR="009E4637" w:rsidRDefault="009E4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04BCB"/>
    <w:multiLevelType w:val="hybridMultilevel"/>
    <w:tmpl w:val="F6D884DA"/>
    <w:lvl w:ilvl="0" w:tplc="03E27084">
      <w:start w:val="1"/>
      <w:numFmt w:val="decimal"/>
      <w:lvlText w:val="%1."/>
      <w:lvlJc w:val="left"/>
      <w:pPr>
        <w:tabs>
          <w:tab w:val="num" w:pos="720"/>
        </w:tabs>
        <w:ind w:left="720" w:hanging="360"/>
      </w:pPr>
      <w:rPr>
        <w:rFonts w:ascii="Times New Roman" w:eastAsia="Times New Roman" w:hAnsi="Times New Roman" w:cs="Times New Roman"/>
      </w:rPr>
    </w:lvl>
    <w:lvl w:ilvl="1" w:tplc="6F069F68">
      <w:start w:val="1"/>
      <w:numFmt w:val="bullet"/>
      <w:lvlText w:val="-"/>
      <w:lvlJc w:val="left"/>
      <w:pPr>
        <w:tabs>
          <w:tab w:val="num" w:pos="1477"/>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62470D"/>
    <w:multiLevelType w:val="hybridMultilevel"/>
    <w:tmpl w:val="12AE13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CCB3163"/>
    <w:multiLevelType w:val="hybridMultilevel"/>
    <w:tmpl w:val="0B8687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2D6A675F"/>
    <w:multiLevelType w:val="hybridMultilevel"/>
    <w:tmpl w:val="FD58B69A"/>
    <w:lvl w:ilvl="0" w:tplc="582282E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993E06"/>
    <w:multiLevelType w:val="hybridMultilevel"/>
    <w:tmpl w:val="35E641BE"/>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551439F6"/>
    <w:multiLevelType w:val="hybridMultilevel"/>
    <w:tmpl w:val="919A4542"/>
    <w:lvl w:ilvl="0" w:tplc="ED543C1C">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5B3838BB"/>
    <w:multiLevelType w:val="singleLevel"/>
    <w:tmpl w:val="4046248E"/>
    <w:lvl w:ilvl="0">
      <w:numFmt w:val="bullet"/>
      <w:lvlText w:val="-"/>
      <w:lvlJc w:val="left"/>
      <w:pPr>
        <w:tabs>
          <w:tab w:val="num" w:pos="900"/>
        </w:tabs>
        <w:ind w:left="900" w:hanging="360"/>
      </w:pPr>
      <w:rPr>
        <w:rFonts w:hint="default"/>
      </w:rPr>
    </w:lvl>
  </w:abstractNum>
  <w:abstractNum w:abstractNumId="7">
    <w:nsid w:val="77E725A2"/>
    <w:multiLevelType w:val="hybridMultilevel"/>
    <w:tmpl w:val="DC58CA7A"/>
    <w:lvl w:ilvl="0" w:tplc="472E1D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48"/>
    <w:rsid w:val="00003203"/>
    <w:rsid w:val="0000595F"/>
    <w:rsid w:val="00006055"/>
    <w:rsid w:val="00006951"/>
    <w:rsid w:val="00006CE6"/>
    <w:rsid w:val="00007D23"/>
    <w:rsid w:val="000121D0"/>
    <w:rsid w:val="00014AB3"/>
    <w:rsid w:val="00015ED6"/>
    <w:rsid w:val="000213FE"/>
    <w:rsid w:val="000240FE"/>
    <w:rsid w:val="0002466F"/>
    <w:rsid w:val="000246B2"/>
    <w:rsid w:val="0002517C"/>
    <w:rsid w:val="000252AD"/>
    <w:rsid w:val="00025A3A"/>
    <w:rsid w:val="00026030"/>
    <w:rsid w:val="00026371"/>
    <w:rsid w:val="000266FD"/>
    <w:rsid w:val="0002771C"/>
    <w:rsid w:val="00030C63"/>
    <w:rsid w:val="000314E1"/>
    <w:rsid w:val="00031C71"/>
    <w:rsid w:val="00032935"/>
    <w:rsid w:val="00034D0D"/>
    <w:rsid w:val="00034F90"/>
    <w:rsid w:val="00037D1B"/>
    <w:rsid w:val="000406FD"/>
    <w:rsid w:val="00040BAE"/>
    <w:rsid w:val="00044D50"/>
    <w:rsid w:val="00045F67"/>
    <w:rsid w:val="00046830"/>
    <w:rsid w:val="00047E92"/>
    <w:rsid w:val="0005148C"/>
    <w:rsid w:val="00051747"/>
    <w:rsid w:val="00052A03"/>
    <w:rsid w:val="00055C17"/>
    <w:rsid w:val="00056CC9"/>
    <w:rsid w:val="000601A7"/>
    <w:rsid w:val="000634AC"/>
    <w:rsid w:val="00063EEF"/>
    <w:rsid w:val="00066440"/>
    <w:rsid w:val="000679F7"/>
    <w:rsid w:val="00067C9B"/>
    <w:rsid w:val="00072674"/>
    <w:rsid w:val="0007269A"/>
    <w:rsid w:val="00073BF5"/>
    <w:rsid w:val="0007602D"/>
    <w:rsid w:val="00080C19"/>
    <w:rsid w:val="000824C0"/>
    <w:rsid w:val="00082EE1"/>
    <w:rsid w:val="00083834"/>
    <w:rsid w:val="000951CD"/>
    <w:rsid w:val="00096F6C"/>
    <w:rsid w:val="000A3AC5"/>
    <w:rsid w:val="000A4A24"/>
    <w:rsid w:val="000A5EE6"/>
    <w:rsid w:val="000A6332"/>
    <w:rsid w:val="000A68BE"/>
    <w:rsid w:val="000B35F1"/>
    <w:rsid w:val="000B406C"/>
    <w:rsid w:val="000B5AE1"/>
    <w:rsid w:val="000B77B0"/>
    <w:rsid w:val="000C0393"/>
    <w:rsid w:val="000C0B4C"/>
    <w:rsid w:val="000C20DD"/>
    <w:rsid w:val="000C2A2C"/>
    <w:rsid w:val="000C4655"/>
    <w:rsid w:val="000C488A"/>
    <w:rsid w:val="000C4A3D"/>
    <w:rsid w:val="000D02F6"/>
    <w:rsid w:val="000D2817"/>
    <w:rsid w:val="000D40B9"/>
    <w:rsid w:val="000D60ED"/>
    <w:rsid w:val="000E6EF2"/>
    <w:rsid w:val="000F3980"/>
    <w:rsid w:val="000F4E64"/>
    <w:rsid w:val="000F4FA3"/>
    <w:rsid w:val="000F5294"/>
    <w:rsid w:val="000F5459"/>
    <w:rsid w:val="000F5990"/>
    <w:rsid w:val="00100F55"/>
    <w:rsid w:val="00102F9B"/>
    <w:rsid w:val="00104D65"/>
    <w:rsid w:val="00106838"/>
    <w:rsid w:val="00110488"/>
    <w:rsid w:val="001136A5"/>
    <w:rsid w:val="0012021B"/>
    <w:rsid w:val="00121EF0"/>
    <w:rsid w:val="00127145"/>
    <w:rsid w:val="0012746B"/>
    <w:rsid w:val="001275EC"/>
    <w:rsid w:val="0013097F"/>
    <w:rsid w:val="001328F1"/>
    <w:rsid w:val="00135AAE"/>
    <w:rsid w:val="00140A27"/>
    <w:rsid w:val="00145643"/>
    <w:rsid w:val="00147C9B"/>
    <w:rsid w:val="00147E0C"/>
    <w:rsid w:val="001521CE"/>
    <w:rsid w:val="00152E13"/>
    <w:rsid w:val="00155162"/>
    <w:rsid w:val="001579B0"/>
    <w:rsid w:val="00157DDB"/>
    <w:rsid w:val="001608EB"/>
    <w:rsid w:val="00161BCC"/>
    <w:rsid w:val="00162034"/>
    <w:rsid w:val="00165378"/>
    <w:rsid w:val="0017023D"/>
    <w:rsid w:val="00170379"/>
    <w:rsid w:val="00174C19"/>
    <w:rsid w:val="00175B20"/>
    <w:rsid w:val="001779AB"/>
    <w:rsid w:val="00180127"/>
    <w:rsid w:val="001913E1"/>
    <w:rsid w:val="001946F6"/>
    <w:rsid w:val="00196B6D"/>
    <w:rsid w:val="00196F7A"/>
    <w:rsid w:val="001A2085"/>
    <w:rsid w:val="001A3493"/>
    <w:rsid w:val="001A4D63"/>
    <w:rsid w:val="001A53DE"/>
    <w:rsid w:val="001A6010"/>
    <w:rsid w:val="001A7B1A"/>
    <w:rsid w:val="001B5D69"/>
    <w:rsid w:val="001B6D65"/>
    <w:rsid w:val="001B72AC"/>
    <w:rsid w:val="001C10E9"/>
    <w:rsid w:val="001C232C"/>
    <w:rsid w:val="001C534D"/>
    <w:rsid w:val="001C6BDE"/>
    <w:rsid w:val="001D07EB"/>
    <w:rsid w:val="001D0DFC"/>
    <w:rsid w:val="001D176A"/>
    <w:rsid w:val="001D1CE9"/>
    <w:rsid w:val="001D4FBB"/>
    <w:rsid w:val="001D611F"/>
    <w:rsid w:val="001D6AAD"/>
    <w:rsid w:val="001D7FC1"/>
    <w:rsid w:val="001E0985"/>
    <w:rsid w:val="001E14F0"/>
    <w:rsid w:val="001E2603"/>
    <w:rsid w:val="001E60F9"/>
    <w:rsid w:val="001F0349"/>
    <w:rsid w:val="001F1C1B"/>
    <w:rsid w:val="001F5EE5"/>
    <w:rsid w:val="001F604C"/>
    <w:rsid w:val="00200EDB"/>
    <w:rsid w:val="00205F33"/>
    <w:rsid w:val="00206364"/>
    <w:rsid w:val="00211503"/>
    <w:rsid w:val="00212843"/>
    <w:rsid w:val="002164B0"/>
    <w:rsid w:val="00216D72"/>
    <w:rsid w:val="00221ECA"/>
    <w:rsid w:val="00224E0C"/>
    <w:rsid w:val="0023071E"/>
    <w:rsid w:val="002308B9"/>
    <w:rsid w:val="002337AD"/>
    <w:rsid w:val="002341D9"/>
    <w:rsid w:val="00235032"/>
    <w:rsid w:val="002370BD"/>
    <w:rsid w:val="00241DA8"/>
    <w:rsid w:val="00254658"/>
    <w:rsid w:val="00256739"/>
    <w:rsid w:val="00256A4D"/>
    <w:rsid w:val="00260B23"/>
    <w:rsid w:val="00260E62"/>
    <w:rsid w:val="002619DE"/>
    <w:rsid w:val="00262893"/>
    <w:rsid w:val="00262E8C"/>
    <w:rsid w:val="00263A98"/>
    <w:rsid w:val="00264072"/>
    <w:rsid w:val="00264139"/>
    <w:rsid w:val="00265057"/>
    <w:rsid w:val="002703FF"/>
    <w:rsid w:val="002706D9"/>
    <w:rsid w:val="002715B0"/>
    <w:rsid w:val="0027182F"/>
    <w:rsid w:val="00273E3C"/>
    <w:rsid w:val="002741C2"/>
    <w:rsid w:val="00276E2C"/>
    <w:rsid w:val="002772EA"/>
    <w:rsid w:val="002773B5"/>
    <w:rsid w:val="0028377B"/>
    <w:rsid w:val="002838A4"/>
    <w:rsid w:val="00283C46"/>
    <w:rsid w:val="002858B8"/>
    <w:rsid w:val="00286402"/>
    <w:rsid w:val="00286808"/>
    <w:rsid w:val="00287802"/>
    <w:rsid w:val="00287D0D"/>
    <w:rsid w:val="0029403D"/>
    <w:rsid w:val="002940AF"/>
    <w:rsid w:val="00296D9A"/>
    <w:rsid w:val="00296F26"/>
    <w:rsid w:val="002A0B94"/>
    <w:rsid w:val="002A1C1F"/>
    <w:rsid w:val="002A2E49"/>
    <w:rsid w:val="002A4484"/>
    <w:rsid w:val="002A65D6"/>
    <w:rsid w:val="002A68BE"/>
    <w:rsid w:val="002B068C"/>
    <w:rsid w:val="002B3142"/>
    <w:rsid w:val="002B5C7E"/>
    <w:rsid w:val="002B7D60"/>
    <w:rsid w:val="002C05DA"/>
    <w:rsid w:val="002C365F"/>
    <w:rsid w:val="002C3B4A"/>
    <w:rsid w:val="002C488D"/>
    <w:rsid w:val="002C6D2C"/>
    <w:rsid w:val="002D0BBE"/>
    <w:rsid w:val="002D0D37"/>
    <w:rsid w:val="002D3343"/>
    <w:rsid w:val="002D44B1"/>
    <w:rsid w:val="002D5803"/>
    <w:rsid w:val="002E0467"/>
    <w:rsid w:val="002E13A6"/>
    <w:rsid w:val="002E14C6"/>
    <w:rsid w:val="002E6C72"/>
    <w:rsid w:val="002F082B"/>
    <w:rsid w:val="002F4140"/>
    <w:rsid w:val="002F46B4"/>
    <w:rsid w:val="00301432"/>
    <w:rsid w:val="003030A1"/>
    <w:rsid w:val="0030423F"/>
    <w:rsid w:val="0030439F"/>
    <w:rsid w:val="003043BF"/>
    <w:rsid w:val="00310704"/>
    <w:rsid w:val="00310C27"/>
    <w:rsid w:val="00312BE2"/>
    <w:rsid w:val="00317712"/>
    <w:rsid w:val="00320FC3"/>
    <w:rsid w:val="003307FD"/>
    <w:rsid w:val="00335FB7"/>
    <w:rsid w:val="003373DE"/>
    <w:rsid w:val="00340072"/>
    <w:rsid w:val="003427C4"/>
    <w:rsid w:val="00350E14"/>
    <w:rsid w:val="00351375"/>
    <w:rsid w:val="00351FFF"/>
    <w:rsid w:val="003544B4"/>
    <w:rsid w:val="00356461"/>
    <w:rsid w:val="00356683"/>
    <w:rsid w:val="00356987"/>
    <w:rsid w:val="003575D9"/>
    <w:rsid w:val="003620DB"/>
    <w:rsid w:val="003635B7"/>
    <w:rsid w:val="003636C0"/>
    <w:rsid w:val="00366B98"/>
    <w:rsid w:val="0037166C"/>
    <w:rsid w:val="0037449B"/>
    <w:rsid w:val="003744B4"/>
    <w:rsid w:val="00376AD7"/>
    <w:rsid w:val="00381832"/>
    <w:rsid w:val="00381CCE"/>
    <w:rsid w:val="003856E5"/>
    <w:rsid w:val="003920B0"/>
    <w:rsid w:val="00392B28"/>
    <w:rsid w:val="003941E8"/>
    <w:rsid w:val="003942FE"/>
    <w:rsid w:val="003A3891"/>
    <w:rsid w:val="003A3C90"/>
    <w:rsid w:val="003A3D99"/>
    <w:rsid w:val="003A5BD0"/>
    <w:rsid w:val="003B5A53"/>
    <w:rsid w:val="003C2211"/>
    <w:rsid w:val="003C2BDF"/>
    <w:rsid w:val="003C30B9"/>
    <w:rsid w:val="003C37FA"/>
    <w:rsid w:val="003C5D5C"/>
    <w:rsid w:val="003D1BA0"/>
    <w:rsid w:val="003D272D"/>
    <w:rsid w:val="003D2EF7"/>
    <w:rsid w:val="003D3C03"/>
    <w:rsid w:val="003D4373"/>
    <w:rsid w:val="003D4579"/>
    <w:rsid w:val="003D6767"/>
    <w:rsid w:val="003D7C34"/>
    <w:rsid w:val="003F052C"/>
    <w:rsid w:val="003F0DEE"/>
    <w:rsid w:val="003F1666"/>
    <w:rsid w:val="003F7596"/>
    <w:rsid w:val="00402546"/>
    <w:rsid w:val="00403E8C"/>
    <w:rsid w:val="00406440"/>
    <w:rsid w:val="00407711"/>
    <w:rsid w:val="00414D50"/>
    <w:rsid w:val="00415FD7"/>
    <w:rsid w:val="0042046B"/>
    <w:rsid w:val="0042081A"/>
    <w:rsid w:val="00422479"/>
    <w:rsid w:val="00422724"/>
    <w:rsid w:val="0042298A"/>
    <w:rsid w:val="004238A2"/>
    <w:rsid w:val="00423DB1"/>
    <w:rsid w:val="00427106"/>
    <w:rsid w:val="004272D0"/>
    <w:rsid w:val="00430BDD"/>
    <w:rsid w:val="00431FC9"/>
    <w:rsid w:val="00432266"/>
    <w:rsid w:val="00432FB3"/>
    <w:rsid w:val="00434766"/>
    <w:rsid w:val="004355E3"/>
    <w:rsid w:val="00440C7A"/>
    <w:rsid w:val="00444A78"/>
    <w:rsid w:val="00445209"/>
    <w:rsid w:val="00447E5B"/>
    <w:rsid w:val="00453B4C"/>
    <w:rsid w:val="004543FF"/>
    <w:rsid w:val="00455B75"/>
    <w:rsid w:val="00457C1F"/>
    <w:rsid w:val="004603A0"/>
    <w:rsid w:val="00460744"/>
    <w:rsid w:val="004617FA"/>
    <w:rsid w:val="004623CD"/>
    <w:rsid w:val="00464E5A"/>
    <w:rsid w:val="0046511F"/>
    <w:rsid w:val="00466A12"/>
    <w:rsid w:val="00467567"/>
    <w:rsid w:val="00470418"/>
    <w:rsid w:val="00470FE9"/>
    <w:rsid w:val="00471849"/>
    <w:rsid w:val="00473D01"/>
    <w:rsid w:val="00473E3B"/>
    <w:rsid w:val="004812A7"/>
    <w:rsid w:val="00481BDF"/>
    <w:rsid w:val="004821B4"/>
    <w:rsid w:val="004821DF"/>
    <w:rsid w:val="004836ED"/>
    <w:rsid w:val="00486F58"/>
    <w:rsid w:val="0048743C"/>
    <w:rsid w:val="00491F12"/>
    <w:rsid w:val="00494098"/>
    <w:rsid w:val="004942E6"/>
    <w:rsid w:val="004A098B"/>
    <w:rsid w:val="004A13B7"/>
    <w:rsid w:val="004A2148"/>
    <w:rsid w:val="004A4FD0"/>
    <w:rsid w:val="004A5F95"/>
    <w:rsid w:val="004B1C84"/>
    <w:rsid w:val="004B282C"/>
    <w:rsid w:val="004B5095"/>
    <w:rsid w:val="004B570F"/>
    <w:rsid w:val="004B6B0C"/>
    <w:rsid w:val="004B79E3"/>
    <w:rsid w:val="004C0220"/>
    <w:rsid w:val="004C38CC"/>
    <w:rsid w:val="004C41C8"/>
    <w:rsid w:val="004C5150"/>
    <w:rsid w:val="004C6031"/>
    <w:rsid w:val="004D0D50"/>
    <w:rsid w:val="004D1828"/>
    <w:rsid w:val="004D1B14"/>
    <w:rsid w:val="004D1D40"/>
    <w:rsid w:val="004D1F2F"/>
    <w:rsid w:val="004D23A7"/>
    <w:rsid w:val="004D2A1F"/>
    <w:rsid w:val="004D35A4"/>
    <w:rsid w:val="004D3845"/>
    <w:rsid w:val="004D50C8"/>
    <w:rsid w:val="004D612B"/>
    <w:rsid w:val="004E3D6E"/>
    <w:rsid w:val="004E3F18"/>
    <w:rsid w:val="004E49FA"/>
    <w:rsid w:val="004E4E7D"/>
    <w:rsid w:val="004E64C9"/>
    <w:rsid w:val="004E7571"/>
    <w:rsid w:val="004E793D"/>
    <w:rsid w:val="004F2345"/>
    <w:rsid w:val="004F2E28"/>
    <w:rsid w:val="005009AF"/>
    <w:rsid w:val="00500DF0"/>
    <w:rsid w:val="00506301"/>
    <w:rsid w:val="005128C4"/>
    <w:rsid w:val="005168EA"/>
    <w:rsid w:val="00521D3E"/>
    <w:rsid w:val="00525DF3"/>
    <w:rsid w:val="00526FBD"/>
    <w:rsid w:val="00527EEB"/>
    <w:rsid w:val="00530BA1"/>
    <w:rsid w:val="00531606"/>
    <w:rsid w:val="00532ED0"/>
    <w:rsid w:val="005349FF"/>
    <w:rsid w:val="00534C44"/>
    <w:rsid w:val="005360E3"/>
    <w:rsid w:val="00536FE3"/>
    <w:rsid w:val="00537C4C"/>
    <w:rsid w:val="005419A6"/>
    <w:rsid w:val="00550CDC"/>
    <w:rsid w:val="00551BA2"/>
    <w:rsid w:val="00551F5B"/>
    <w:rsid w:val="00552AD8"/>
    <w:rsid w:val="00552FA2"/>
    <w:rsid w:val="00553659"/>
    <w:rsid w:val="00554239"/>
    <w:rsid w:val="00557770"/>
    <w:rsid w:val="0056008C"/>
    <w:rsid w:val="00565CBC"/>
    <w:rsid w:val="00570766"/>
    <w:rsid w:val="00574260"/>
    <w:rsid w:val="00574F10"/>
    <w:rsid w:val="00575C45"/>
    <w:rsid w:val="005845A5"/>
    <w:rsid w:val="005861FD"/>
    <w:rsid w:val="00587794"/>
    <w:rsid w:val="00590F7A"/>
    <w:rsid w:val="005918A5"/>
    <w:rsid w:val="0059475D"/>
    <w:rsid w:val="00596CD7"/>
    <w:rsid w:val="005A02D1"/>
    <w:rsid w:val="005A05F5"/>
    <w:rsid w:val="005A1015"/>
    <w:rsid w:val="005A1A14"/>
    <w:rsid w:val="005A5A57"/>
    <w:rsid w:val="005A68D4"/>
    <w:rsid w:val="005A7967"/>
    <w:rsid w:val="005C0938"/>
    <w:rsid w:val="005C1C6D"/>
    <w:rsid w:val="005C52B7"/>
    <w:rsid w:val="005C52F0"/>
    <w:rsid w:val="005C59E2"/>
    <w:rsid w:val="005D2DF4"/>
    <w:rsid w:val="005D339A"/>
    <w:rsid w:val="005D3B0A"/>
    <w:rsid w:val="005D4F45"/>
    <w:rsid w:val="005D63D8"/>
    <w:rsid w:val="005E0590"/>
    <w:rsid w:val="005E15EC"/>
    <w:rsid w:val="005E2C38"/>
    <w:rsid w:val="005E30A8"/>
    <w:rsid w:val="005E6A79"/>
    <w:rsid w:val="005F330B"/>
    <w:rsid w:val="005F3943"/>
    <w:rsid w:val="005F5499"/>
    <w:rsid w:val="005F636E"/>
    <w:rsid w:val="005F683C"/>
    <w:rsid w:val="005F6890"/>
    <w:rsid w:val="005F77F5"/>
    <w:rsid w:val="00602148"/>
    <w:rsid w:val="00602251"/>
    <w:rsid w:val="0060226F"/>
    <w:rsid w:val="00604E97"/>
    <w:rsid w:val="00605896"/>
    <w:rsid w:val="00605A32"/>
    <w:rsid w:val="00607E5A"/>
    <w:rsid w:val="00610F12"/>
    <w:rsid w:val="006124B5"/>
    <w:rsid w:val="006128B0"/>
    <w:rsid w:val="00614347"/>
    <w:rsid w:val="006148AA"/>
    <w:rsid w:val="00616D3B"/>
    <w:rsid w:val="0062131D"/>
    <w:rsid w:val="00623539"/>
    <w:rsid w:val="00623858"/>
    <w:rsid w:val="0062501F"/>
    <w:rsid w:val="006252CB"/>
    <w:rsid w:val="00627543"/>
    <w:rsid w:val="006366AE"/>
    <w:rsid w:val="0063708A"/>
    <w:rsid w:val="00641092"/>
    <w:rsid w:val="00641E34"/>
    <w:rsid w:val="0064327A"/>
    <w:rsid w:val="00643E3E"/>
    <w:rsid w:val="00644AFE"/>
    <w:rsid w:val="00645539"/>
    <w:rsid w:val="006462FB"/>
    <w:rsid w:val="00646FDB"/>
    <w:rsid w:val="006502F2"/>
    <w:rsid w:val="00651FD5"/>
    <w:rsid w:val="006546A7"/>
    <w:rsid w:val="00660117"/>
    <w:rsid w:val="00660709"/>
    <w:rsid w:val="006628FF"/>
    <w:rsid w:val="006630B9"/>
    <w:rsid w:val="00665379"/>
    <w:rsid w:val="00667AE3"/>
    <w:rsid w:val="0067250F"/>
    <w:rsid w:val="00675ED5"/>
    <w:rsid w:val="006813AA"/>
    <w:rsid w:val="0068375C"/>
    <w:rsid w:val="00686437"/>
    <w:rsid w:val="006871EC"/>
    <w:rsid w:val="00691233"/>
    <w:rsid w:val="00691895"/>
    <w:rsid w:val="00695ACA"/>
    <w:rsid w:val="00695D6E"/>
    <w:rsid w:val="00696525"/>
    <w:rsid w:val="006A165F"/>
    <w:rsid w:val="006A3008"/>
    <w:rsid w:val="006A699B"/>
    <w:rsid w:val="006B1BFE"/>
    <w:rsid w:val="006B4C21"/>
    <w:rsid w:val="006B4CAB"/>
    <w:rsid w:val="006B62A0"/>
    <w:rsid w:val="006C1D41"/>
    <w:rsid w:val="006C44B5"/>
    <w:rsid w:val="006C4A89"/>
    <w:rsid w:val="006C58FA"/>
    <w:rsid w:val="006C5DE0"/>
    <w:rsid w:val="006D3857"/>
    <w:rsid w:val="006D68F8"/>
    <w:rsid w:val="006D76E9"/>
    <w:rsid w:val="006E08FF"/>
    <w:rsid w:val="006E10DA"/>
    <w:rsid w:val="006E33EB"/>
    <w:rsid w:val="006E515C"/>
    <w:rsid w:val="006E5530"/>
    <w:rsid w:val="006E55E6"/>
    <w:rsid w:val="006E7516"/>
    <w:rsid w:val="006F1E09"/>
    <w:rsid w:val="006F5A40"/>
    <w:rsid w:val="007026D6"/>
    <w:rsid w:val="00702B24"/>
    <w:rsid w:val="00702E9C"/>
    <w:rsid w:val="00707B42"/>
    <w:rsid w:val="007126F5"/>
    <w:rsid w:val="00713767"/>
    <w:rsid w:val="00713F54"/>
    <w:rsid w:val="00714DD7"/>
    <w:rsid w:val="00715C39"/>
    <w:rsid w:val="00716D90"/>
    <w:rsid w:val="00721AF6"/>
    <w:rsid w:val="00724FE4"/>
    <w:rsid w:val="00726D20"/>
    <w:rsid w:val="00733F30"/>
    <w:rsid w:val="007357AC"/>
    <w:rsid w:val="00737BE9"/>
    <w:rsid w:val="00741655"/>
    <w:rsid w:val="007420F7"/>
    <w:rsid w:val="00753B3E"/>
    <w:rsid w:val="00754C13"/>
    <w:rsid w:val="00757126"/>
    <w:rsid w:val="00760FA9"/>
    <w:rsid w:val="00762686"/>
    <w:rsid w:val="00763EE9"/>
    <w:rsid w:val="00765A4B"/>
    <w:rsid w:val="00765A98"/>
    <w:rsid w:val="00767833"/>
    <w:rsid w:val="00773E9D"/>
    <w:rsid w:val="007760D8"/>
    <w:rsid w:val="007764B7"/>
    <w:rsid w:val="00776ABF"/>
    <w:rsid w:val="00782AEC"/>
    <w:rsid w:val="00785922"/>
    <w:rsid w:val="00787BD6"/>
    <w:rsid w:val="007909D1"/>
    <w:rsid w:val="00793BB0"/>
    <w:rsid w:val="007965E5"/>
    <w:rsid w:val="00796670"/>
    <w:rsid w:val="007A197D"/>
    <w:rsid w:val="007A1C91"/>
    <w:rsid w:val="007A1E8E"/>
    <w:rsid w:val="007A2961"/>
    <w:rsid w:val="007A5AFA"/>
    <w:rsid w:val="007B23F8"/>
    <w:rsid w:val="007B4426"/>
    <w:rsid w:val="007B5EB3"/>
    <w:rsid w:val="007B7DFF"/>
    <w:rsid w:val="007C33FF"/>
    <w:rsid w:val="007C6B05"/>
    <w:rsid w:val="007C7802"/>
    <w:rsid w:val="007D19D5"/>
    <w:rsid w:val="007D1F10"/>
    <w:rsid w:val="007D75B5"/>
    <w:rsid w:val="007E12E3"/>
    <w:rsid w:val="007E1519"/>
    <w:rsid w:val="007E73F3"/>
    <w:rsid w:val="007E791C"/>
    <w:rsid w:val="007F2993"/>
    <w:rsid w:val="007F2A1E"/>
    <w:rsid w:val="007F3E2D"/>
    <w:rsid w:val="007F68F4"/>
    <w:rsid w:val="00801380"/>
    <w:rsid w:val="00804797"/>
    <w:rsid w:val="00805716"/>
    <w:rsid w:val="00812832"/>
    <w:rsid w:val="00813423"/>
    <w:rsid w:val="00813DD5"/>
    <w:rsid w:val="00815413"/>
    <w:rsid w:val="008158EE"/>
    <w:rsid w:val="00816243"/>
    <w:rsid w:val="00816F79"/>
    <w:rsid w:val="00822D8E"/>
    <w:rsid w:val="008236EC"/>
    <w:rsid w:val="0083053D"/>
    <w:rsid w:val="00830D5F"/>
    <w:rsid w:val="00832285"/>
    <w:rsid w:val="00832530"/>
    <w:rsid w:val="0083334D"/>
    <w:rsid w:val="00836528"/>
    <w:rsid w:val="00841DFF"/>
    <w:rsid w:val="0084747B"/>
    <w:rsid w:val="00853AAE"/>
    <w:rsid w:val="008608CA"/>
    <w:rsid w:val="008633BF"/>
    <w:rsid w:val="00864494"/>
    <w:rsid w:val="008656C8"/>
    <w:rsid w:val="00866CFE"/>
    <w:rsid w:val="00870234"/>
    <w:rsid w:val="0087125D"/>
    <w:rsid w:val="008723B0"/>
    <w:rsid w:val="00872ABD"/>
    <w:rsid w:val="0087462A"/>
    <w:rsid w:val="00874BDA"/>
    <w:rsid w:val="00877B5F"/>
    <w:rsid w:val="00882C08"/>
    <w:rsid w:val="0088324B"/>
    <w:rsid w:val="008864C8"/>
    <w:rsid w:val="00890527"/>
    <w:rsid w:val="00893936"/>
    <w:rsid w:val="00894DE6"/>
    <w:rsid w:val="00895174"/>
    <w:rsid w:val="00895CE6"/>
    <w:rsid w:val="008A03A4"/>
    <w:rsid w:val="008A3D94"/>
    <w:rsid w:val="008A7AAA"/>
    <w:rsid w:val="008B0B9C"/>
    <w:rsid w:val="008B0FA6"/>
    <w:rsid w:val="008B5234"/>
    <w:rsid w:val="008C1347"/>
    <w:rsid w:val="008C1D3B"/>
    <w:rsid w:val="008C285D"/>
    <w:rsid w:val="008C4B97"/>
    <w:rsid w:val="008C68A7"/>
    <w:rsid w:val="008D09B0"/>
    <w:rsid w:val="008D4119"/>
    <w:rsid w:val="008D4EA6"/>
    <w:rsid w:val="008D4FEE"/>
    <w:rsid w:val="008D6159"/>
    <w:rsid w:val="008D6C6F"/>
    <w:rsid w:val="008E04C3"/>
    <w:rsid w:val="008E4748"/>
    <w:rsid w:val="008E63F1"/>
    <w:rsid w:val="008F0255"/>
    <w:rsid w:val="008F455D"/>
    <w:rsid w:val="00901537"/>
    <w:rsid w:val="00903FAD"/>
    <w:rsid w:val="00911D8B"/>
    <w:rsid w:val="00917336"/>
    <w:rsid w:val="00923DA5"/>
    <w:rsid w:val="00925C41"/>
    <w:rsid w:val="0092613C"/>
    <w:rsid w:val="009262CF"/>
    <w:rsid w:val="00930724"/>
    <w:rsid w:val="00932F59"/>
    <w:rsid w:val="0093480A"/>
    <w:rsid w:val="00935680"/>
    <w:rsid w:val="009413C4"/>
    <w:rsid w:val="00943AD6"/>
    <w:rsid w:val="00944D6C"/>
    <w:rsid w:val="009465AA"/>
    <w:rsid w:val="009528AD"/>
    <w:rsid w:val="009536C1"/>
    <w:rsid w:val="0095404A"/>
    <w:rsid w:val="0096321C"/>
    <w:rsid w:val="00963DDA"/>
    <w:rsid w:val="009648CB"/>
    <w:rsid w:val="00971064"/>
    <w:rsid w:val="00971527"/>
    <w:rsid w:val="0097248C"/>
    <w:rsid w:val="00972D8B"/>
    <w:rsid w:val="0097669F"/>
    <w:rsid w:val="00976773"/>
    <w:rsid w:val="00981218"/>
    <w:rsid w:val="0098192E"/>
    <w:rsid w:val="0098240B"/>
    <w:rsid w:val="009824E2"/>
    <w:rsid w:val="0098418E"/>
    <w:rsid w:val="00984F08"/>
    <w:rsid w:val="009871D0"/>
    <w:rsid w:val="009876E5"/>
    <w:rsid w:val="00990F91"/>
    <w:rsid w:val="00992906"/>
    <w:rsid w:val="00993C69"/>
    <w:rsid w:val="00995B0E"/>
    <w:rsid w:val="00995EDF"/>
    <w:rsid w:val="009979B1"/>
    <w:rsid w:val="009A285D"/>
    <w:rsid w:val="009A77F4"/>
    <w:rsid w:val="009A7F5C"/>
    <w:rsid w:val="009B4697"/>
    <w:rsid w:val="009B7994"/>
    <w:rsid w:val="009C03FE"/>
    <w:rsid w:val="009C0599"/>
    <w:rsid w:val="009C26E0"/>
    <w:rsid w:val="009C4093"/>
    <w:rsid w:val="009C5C3A"/>
    <w:rsid w:val="009D0022"/>
    <w:rsid w:val="009D01E1"/>
    <w:rsid w:val="009D0242"/>
    <w:rsid w:val="009D4A15"/>
    <w:rsid w:val="009D4B76"/>
    <w:rsid w:val="009E2890"/>
    <w:rsid w:val="009E2D86"/>
    <w:rsid w:val="009E2F3D"/>
    <w:rsid w:val="009E2F53"/>
    <w:rsid w:val="009E4062"/>
    <w:rsid w:val="009E4081"/>
    <w:rsid w:val="009E4637"/>
    <w:rsid w:val="009E57F5"/>
    <w:rsid w:val="009E7783"/>
    <w:rsid w:val="009E7CBF"/>
    <w:rsid w:val="009F0D34"/>
    <w:rsid w:val="009F2B91"/>
    <w:rsid w:val="009F7257"/>
    <w:rsid w:val="009F755D"/>
    <w:rsid w:val="00A05B9F"/>
    <w:rsid w:val="00A10B27"/>
    <w:rsid w:val="00A14C3F"/>
    <w:rsid w:val="00A15C3D"/>
    <w:rsid w:val="00A17EE6"/>
    <w:rsid w:val="00A257BA"/>
    <w:rsid w:val="00A26C37"/>
    <w:rsid w:val="00A32848"/>
    <w:rsid w:val="00A3435B"/>
    <w:rsid w:val="00A34753"/>
    <w:rsid w:val="00A3799B"/>
    <w:rsid w:val="00A41E89"/>
    <w:rsid w:val="00A44A4C"/>
    <w:rsid w:val="00A457DF"/>
    <w:rsid w:val="00A46321"/>
    <w:rsid w:val="00A46E1E"/>
    <w:rsid w:val="00A51AA0"/>
    <w:rsid w:val="00A52A57"/>
    <w:rsid w:val="00A52C49"/>
    <w:rsid w:val="00A534A7"/>
    <w:rsid w:val="00A5369C"/>
    <w:rsid w:val="00A55E9C"/>
    <w:rsid w:val="00A57E7A"/>
    <w:rsid w:val="00A57EA8"/>
    <w:rsid w:val="00A60E94"/>
    <w:rsid w:val="00A6188A"/>
    <w:rsid w:val="00A61A07"/>
    <w:rsid w:val="00A64B99"/>
    <w:rsid w:val="00A70A0A"/>
    <w:rsid w:val="00A70C4E"/>
    <w:rsid w:val="00A72ABB"/>
    <w:rsid w:val="00A73D4A"/>
    <w:rsid w:val="00A75F2B"/>
    <w:rsid w:val="00A7653B"/>
    <w:rsid w:val="00A81EBD"/>
    <w:rsid w:val="00A837CA"/>
    <w:rsid w:val="00A85097"/>
    <w:rsid w:val="00A915EB"/>
    <w:rsid w:val="00A91B93"/>
    <w:rsid w:val="00A92F75"/>
    <w:rsid w:val="00A93135"/>
    <w:rsid w:val="00A93A25"/>
    <w:rsid w:val="00A94EB3"/>
    <w:rsid w:val="00A95C7A"/>
    <w:rsid w:val="00A97D86"/>
    <w:rsid w:val="00AA4629"/>
    <w:rsid w:val="00AB269E"/>
    <w:rsid w:val="00AB68D4"/>
    <w:rsid w:val="00AB695F"/>
    <w:rsid w:val="00AB6B78"/>
    <w:rsid w:val="00AC00C1"/>
    <w:rsid w:val="00AC0FA5"/>
    <w:rsid w:val="00AC2F86"/>
    <w:rsid w:val="00AC6D71"/>
    <w:rsid w:val="00AD0DA1"/>
    <w:rsid w:val="00AD1302"/>
    <w:rsid w:val="00AD4941"/>
    <w:rsid w:val="00AD6F5E"/>
    <w:rsid w:val="00AE245D"/>
    <w:rsid w:val="00AF0473"/>
    <w:rsid w:val="00AF1983"/>
    <w:rsid w:val="00AF25FE"/>
    <w:rsid w:val="00AF3E71"/>
    <w:rsid w:val="00AF6558"/>
    <w:rsid w:val="00B00598"/>
    <w:rsid w:val="00B017C7"/>
    <w:rsid w:val="00B03123"/>
    <w:rsid w:val="00B03460"/>
    <w:rsid w:val="00B04DBC"/>
    <w:rsid w:val="00B05526"/>
    <w:rsid w:val="00B06553"/>
    <w:rsid w:val="00B06AD0"/>
    <w:rsid w:val="00B06BE2"/>
    <w:rsid w:val="00B07572"/>
    <w:rsid w:val="00B07F52"/>
    <w:rsid w:val="00B11085"/>
    <w:rsid w:val="00B1297E"/>
    <w:rsid w:val="00B1315D"/>
    <w:rsid w:val="00B13FD0"/>
    <w:rsid w:val="00B1524F"/>
    <w:rsid w:val="00B1557D"/>
    <w:rsid w:val="00B16A57"/>
    <w:rsid w:val="00B24A56"/>
    <w:rsid w:val="00B24BC9"/>
    <w:rsid w:val="00B303B2"/>
    <w:rsid w:val="00B33C0B"/>
    <w:rsid w:val="00B46800"/>
    <w:rsid w:val="00B47B0D"/>
    <w:rsid w:val="00B53622"/>
    <w:rsid w:val="00B53AA9"/>
    <w:rsid w:val="00B57390"/>
    <w:rsid w:val="00B57FC0"/>
    <w:rsid w:val="00B626AD"/>
    <w:rsid w:val="00B62AAD"/>
    <w:rsid w:val="00B64001"/>
    <w:rsid w:val="00B75F0D"/>
    <w:rsid w:val="00B80AA4"/>
    <w:rsid w:val="00B8168B"/>
    <w:rsid w:val="00B819E6"/>
    <w:rsid w:val="00B83103"/>
    <w:rsid w:val="00B83C6B"/>
    <w:rsid w:val="00B86300"/>
    <w:rsid w:val="00B92B97"/>
    <w:rsid w:val="00B96C5A"/>
    <w:rsid w:val="00BA0057"/>
    <w:rsid w:val="00BA03B2"/>
    <w:rsid w:val="00BA1A7C"/>
    <w:rsid w:val="00BA3B23"/>
    <w:rsid w:val="00BA4EDF"/>
    <w:rsid w:val="00BA70EE"/>
    <w:rsid w:val="00BA7231"/>
    <w:rsid w:val="00BB1E29"/>
    <w:rsid w:val="00BB2075"/>
    <w:rsid w:val="00BB482B"/>
    <w:rsid w:val="00BB4CFF"/>
    <w:rsid w:val="00BB6432"/>
    <w:rsid w:val="00BB7E0B"/>
    <w:rsid w:val="00BC5867"/>
    <w:rsid w:val="00BC68CF"/>
    <w:rsid w:val="00BC6CCC"/>
    <w:rsid w:val="00BD3023"/>
    <w:rsid w:val="00BD3F00"/>
    <w:rsid w:val="00BD47BA"/>
    <w:rsid w:val="00BD4EF3"/>
    <w:rsid w:val="00BD59CC"/>
    <w:rsid w:val="00BD6BE8"/>
    <w:rsid w:val="00BE1AD1"/>
    <w:rsid w:val="00BE2D15"/>
    <w:rsid w:val="00BE79A4"/>
    <w:rsid w:val="00BF1F30"/>
    <w:rsid w:val="00C02622"/>
    <w:rsid w:val="00C02D6B"/>
    <w:rsid w:val="00C03531"/>
    <w:rsid w:val="00C03D08"/>
    <w:rsid w:val="00C065C2"/>
    <w:rsid w:val="00C1658D"/>
    <w:rsid w:val="00C218BA"/>
    <w:rsid w:val="00C2270C"/>
    <w:rsid w:val="00C245EA"/>
    <w:rsid w:val="00C367D5"/>
    <w:rsid w:val="00C3716F"/>
    <w:rsid w:val="00C373AB"/>
    <w:rsid w:val="00C4031D"/>
    <w:rsid w:val="00C407D3"/>
    <w:rsid w:val="00C45D0A"/>
    <w:rsid w:val="00C473F5"/>
    <w:rsid w:val="00C476C9"/>
    <w:rsid w:val="00C47A06"/>
    <w:rsid w:val="00C57571"/>
    <w:rsid w:val="00C62F03"/>
    <w:rsid w:val="00C647CB"/>
    <w:rsid w:val="00C6536C"/>
    <w:rsid w:val="00C712AC"/>
    <w:rsid w:val="00C72592"/>
    <w:rsid w:val="00C72CD6"/>
    <w:rsid w:val="00C72D66"/>
    <w:rsid w:val="00C74345"/>
    <w:rsid w:val="00C745F2"/>
    <w:rsid w:val="00C757A9"/>
    <w:rsid w:val="00C800CC"/>
    <w:rsid w:val="00C81F0C"/>
    <w:rsid w:val="00C82326"/>
    <w:rsid w:val="00C82D0E"/>
    <w:rsid w:val="00C85818"/>
    <w:rsid w:val="00C8605C"/>
    <w:rsid w:val="00C90A8C"/>
    <w:rsid w:val="00C92190"/>
    <w:rsid w:val="00CA485C"/>
    <w:rsid w:val="00CA5860"/>
    <w:rsid w:val="00CA79EB"/>
    <w:rsid w:val="00CB04EE"/>
    <w:rsid w:val="00CB0EA0"/>
    <w:rsid w:val="00CB1448"/>
    <w:rsid w:val="00CB1808"/>
    <w:rsid w:val="00CB6956"/>
    <w:rsid w:val="00CB7014"/>
    <w:rsid w:val="00CB7F16"/>
    <w:rsid w:val="00CC405F"/>
    <w:rsid w:val="00CD065C"/>
    <w:rsid w:val="00CD1A77"/>
    <w:rsid w:val="00CD23F1"/>
    <w:rsid w:val="00CD31A5"/>
    <w:rsid w:val="00CD3208"/>
    <w:rsid w:val="00CD4484"/>
    <w:rsid w:val="00CD4EED"/>
    <w:rsid w:val="00CD6ACA"/>
    <w:rsid w:val="00CD7986"/>
    <w:rsid w:val="00CE02C1"/>
    <w:rsid w:val="00CE1216"/>
    <w:rsid w:val="00CE3E96"/>
    <w:rsid w:val="00CE7911"/>
    <w:rsid w:val="00CE7D95"/>
    <w:rsid w:val="00CF25D2"/>
    <w:rsid w:val="00CF46C6"/>
    <w:rsid w:val="00CF57E7"/>
    <w:rsid w:val="00D00932"/>
    <w:rsid w:val="00D01A8F"/>
    <w:rsid w:val="00D01E4F"/>
    <w:rsid w:val="00D027BD"/>
    <w:rsid w:val="00D04240"/>
    <w:rsid w:val="00D06031"/>
    <w:rsid w:val="00D0618D"/>
    <w:rsid w:val="00D06838"/>
    <w:rsid w:val="00D12246"/>
    <w:rsid w:val="00D35230"/>
    <w:rsid w:val="00D40AFF"/>
    <w:rsid w:val="00D41CF5"/>
    <w:rsid w:val="00D42297"/>
    <w:rsid w:val="00D42F8A"/>
    <w:rsid w:val="00D44098"/>
    <w:rsid w:val="00D442E4"/>
    <w:rsid w:val="00D47863"/>
    <w:rsid w:val="00D50AEE"/>
    <w:rsid w:val="00D50F7F"/>
    <w:rsid w:val="00D52352"/>
    <w:rsid w:val="00D55E5F"/>
    <w:rsid w:val="00D56531"/>
    <w:rsid w:val="00D56F2B"/>
    <w:rsid w:val="00D572EE"/>
    <w:rsid w:val="00D60371"/>
    <w:rsid w:val="00D60C3B"/>
    <w:rsid w:val="00D61F1A"/>
    <w:rsid w:val="00D6248A"/>
    <w:rsid w:val="00D669D6"/>
    <w:rsid w:val="00D7029B"/>
    <w:rsid w:val="00D71160"/>
    <w:rsid w:val="00D734A8"/>
    <w:rsid w:val="00D73DB9"/>
    <w:rsid w:val="00D74043"/>
    <w:rsid w:val="00D7512C"/>
    <w:rsid w:val="00D77878"/>
    <w:rsid w:val="00D84D97"/>
    <w:rsid w:val="00D85D04"/>
    <w:rsid w:val="00D912C8"/>
    <w:rsid w:val="00D912CC"/>
    <w:rsid w:val="00DA0872"/>
    <w:rsid w:val="00DA0E87"/>
    <w:rsid w:val="00DA3695"/>
    <w:rsid w:val="00DA7B2D"/>
    <w:rsid w:val="00DA7D4B"/>
    <w:rsid w:val="00DB0036"/>
    <w:rsid w:val="00DB1053"/>
    <w:rsid w:val="00DB1081"/>
    <w:rsid w:val="00DB12F1"/>
    <w:rsid w:val="00DB1B65"/>
    <w:rsid w:val="00DB262D"/>
    <w:rsid w:val="00DB5C44"/>
    <w:rsid w:val="00DC1ABD"/>
    <w:rsid w:val="00DC2105"/>
    <w:rsid w:val="00DC212F"/>
    <w:rsid w:val="00DC49A6"/>
    <w:rsid w:val="00DD0E63"/>
    <w:rsid w:val="00DD4D6E"/>
    <w:rsid w:val="00DE10E2"/>
    <w:rsid w:val="00DE4D3E"/>
    <w:rsid w:val="00DE7AA2"/>
    <w:rsid w:val="00DF177F"/>
    <w:rsid w:val="00DF24B6"/>
    <w:rsid w:val="00DF2D23"/>
    <w:rsid w:val="00DF2F36"/>
    <w:rsid w:val="00DF5E33"/>
    <w:rsid w:val="00DF6171"/>
    <w:rsid w:val="00DF7855"/>
    <w:rsid w:val="00E02480"/>
    <w:rsid w:val="00E03697"/>
    <w:rsid w:val="00E04607"/>
    <w:rsid w:val="00E05DF0"/>
    <w:rsid w:val="00E10527"/>
    <w:rsid w:val="00E13129"/>
    <w:rsid w:val="00E14A66"/>
    <w:rsid w:val="00E167F6"/>
    <w:rsid w:val="00E179AA"/>
    <w:rsid w:val="00E21650"/>
    <w:rsid w:val="00E23B01"/>
    <w:rsid w:val="00E23C6A"/>
    <w:rsid w:val="00E2681F"/>
    <w:rsid w:val="00E2682F"/>
    <w:rsid w:val="00E26B33"/>
    <w:rsid w:val="00E26E06"/>
    <w:rsid w:val="00E300FD"/>
    <w:rsid w:val="00E3151E"/>
    <w:rsid w:val="00E3723F"/>
    <w:rsid w:val="00E41DFA"/>
    <w:rsid w:val="00E42BFD"/>
    <w:rsid w:val="00E52D2C"/>
    <w:rsid w:val="00E5437B"/>
    <w:rsid w:val="00E54486"/>
    <w:rsid w:val="00E54779"/>
    <w:rsid w:val="00E548A7"/>
    <w:rsid w:val="00E565A0"/>
    <w:rsid w:val="00E56C9E"/>
    <w:rsid w:val="00E56D6E"/>
    <w:rsid w:val="00E6053E"/>
    <w:rsid w:val="00E6093E"/>
    <w:rsid w:val="00E6095C"/>
    <w:rsid w:val="00E66E24"/>
    <w:rsid w:val="00E676E9"/>
    <w:rsid w:val="00E70F95"/>
    <w:rsid w:val="00E71961"/>
    <w:rsid w:val="00E72C7D"/>
    <w:rsid w:val="00E80293"/>
    <w:rsid w:val="00E8794A"/>
    <w:rsid w:val="00E967D6"/>
    <w:rsid w:val="00E96C9A"/>
    <w:rsid w:val="00EA1532"/>
    <w:rsid w:val="00EA7CB1"/>
    <w:rsid w:val="00EB07D8"/>
    <w:rsid w:val="00EB1E24"/>
    <w:rsid w:val="00EB40C2"/>
    <w:rsid w:val="00EB4679"/>
    <w:rsid w:val="00EB4A51"/>
    <w:rsid w:val="00EC01E2"/>
    <w:rsid w:val="00EC0840"/>
    <w:rsid w:val="00EC1127"/>
    <w:rsid w:val="00EC42FB"/>
    <w:rsid w:val="00EC4305"/>
    <w:rsid w:val="00EC4E3C"/>
    <w:rsid w:val="00EC53A4"/>
    <w:rsid w:val="00EC5468"/>
    <w:rsid w:val="00EC59F2"/>
    <w:rsid w:val="00EC5A65"/>
    <w:rsid w:val="00EC6A46"/>
    <w:rsid w:val="00EC7C42"/>
    <w:rsid w:val="00ED4F6F"/>
    <w:rsid w:val="00EE1703"/>
    <w:rsid w:val="00EE1D64"/>
    <w:rsid w:val="00EE5524"/>
    <w:rsid w:val="00EF0C3C"/>
    <w:rsid w:val="00EF0F78"/>
    <w:rsid w:val="00EF52F9"/>
    <w:rsid w:val="00EF6694"/>
    <w:rsid w:val="00F01C8A"/>
    <w:rsid w:val="00F02F40"/>
    <w:rsid w:val="00F0508A"/>
    <w:rsid w:val="00F07B36"/>
    <w:rsid w:val="00F112C1"/>
    <w:rsid w:val="00F12D13"/>
    <w:rsid w:val="00F13792"/>
    <w:rsid w:val="00F14227"/>
    <w:rsid w:val="00F1605F"/>
    <w:rsid w:val="00F17157"/>
    <w:rsid w:val="00F17DC4"/>
    <w:rsid w:val="00F21E1B"/>
    <w:rsid w:val="00F25C6C"/>
    <w:rsid w:val="00F3062F"/>
    <w:rsid w:val="00F3214F"/>
    <w:rsid w:val="00F34B7C"/>
    <w:rsid w:val="00F34DB4"/>
    <w:rsid w:val="00F35C7B"/>
    <w:rsid w:val="00F379FF"/>
    <w:rsid w:val="00F40285"/>
    <w:rsid w:val="00F407EA"/>
    <w:rsid w:val="00F41D2B"/>
    <w:rsid w:val="00F44B7F"/>
    <w:rsid w:val="00F45276"/>
    <w:rsid w:val="00F46508"/>
    <w:rsid w:val="00F5400F"/>
    <w:rsid w:val="00F54CCA"/>
    <w:rsid w:val="00F551DE"/>
    <w:rsid w:val="00F57C56"/>
    <w:rsid w:val="00F60DAA"/>
    <w:rsid w:val="00F6136D"/>
    <w:rsid w:val="00F63E65"/>
    <w:rsid w:val="00F66D86"/>
    <w:rsid w:val="00F67374"/>
    <w:rsid w:val="00F730B2"/>
    <w:rsid w:val="00F7325E"/>
    <w:rsid w:val="00F738CF"/>
    <w:rsid w:val="00F7470D"/>
    <w:rsid w:val="00F75005"/>
    <w:rsid w:val="00F7638F"/>
    <w:rsid w:val="00F80BAB"/>
    <w:rsid w:val="00F85460"/>
    <w:rsid w:val="00F85AA2"/>
    <w:rsid w:val="00F85C4C"/>
    <w:rsid w:val="00F877EB"/>
    <w:rsid w:val="00F87C4C"/>
    <w:rsid w:val="00F9007B"/>
    <w:rsid w:val="00F9129B"/>
    <w:rsid w:val="00FA012C"/>
    <w:rsid w:val="00FA68C6"/>
    <w:rsid w:val="00FB0D17"/>
    <w:rsid w:val="00FB11DC"/>
    <w:rsid w:val="00FB13C3"/>
    <w:rsid w:val="00FB3254"/>
    <w:rsid w:val="00FB385E"/>
    <w:rsid w:val="00FB73A8"/>
    <w:rsid w:val="00FC1E18"/>
    <w:rsid w:val="00FC3FA7"/>
    <w:rsid w:val="00FC4A01"/>
    <w:rsid w:val="00FC4D47"/>
    <w:rsid w:val="00FC5CD7"/>
    <w:rsid w:val="00FD4E45"/>
    <w:rsid w:val="00FD55AF"/>
    <w:rsid w:val="00FD6C6E"/>
    <w:rsid w:val="00FE3A53"/>
    <w:rsid w:val="00FE77CE"/>
    <w:rsid w:val="00FF2759"/>
    <w:rsid w:val="00FF5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autoRedefine/>
    <w:qFormat/>
    <w:rsid w:val="00D572EE"/>
    <w:pPr>
      <w:keepNext/>
      <w:spacing w:before="120" w:after="60"/>
      <w:ind w:firstLine="567"/>
      <w:jc w:val="both"/>
      <w:outlineLvl w:val="0"/>
    </w:pPr>
    <w:rPr>
      <w:rFonts w:cs="Arial"/>
      <w:b/>
      <w:bCs/>
      <w:kern w:val="32"/>
    </w:rPr>
  </w:style>
  <w:style w:type="paragraph" w:styleId="3">
    <w:name w:val="heading 3"/>
    <w:basedOn w:val="a"/>
    <w:next w:val="a"/>
    <w:qFormat/>
    <w:rsid w:val="00296D9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адин стиль,Основной текст 1,Нумерованный список !!,Iniiaiie oaeno 1,Ioia?iaaiiue nienie !!,Iaaei noeeu"/>
    <w:basedOn w:val="a"/>
    <w:rsid w:val="002741C2"/>
    <w:pPr>
      <w:ind w:right="-766" w:firstLine="720"/>
      <w:jc w:val="both"/>
    </w:pPr>
    <w:rPr>
      <w:sz w:val="28"/>
      <w:szCs w:val="20"/>
    </w:rPr>
  </w:style>
  <w:style w:type="paragraph" w:styleId="2">
    <w:name w:val="Body Text 2"/>
    <w:basedOn w:val="a"/>
    <w:rsid w:val="002741C2"/>
    <w:pPr>
      <w:spacing w:after="120" w:line="480" w:lineRule="auto"/>
    </w:pPr>
  </w:style>
  <w:style w:type="paragraph" w:styleId="20">
    <w:name w:val="Body Text Indent 2"/>
    <w:basedOn w:val="a"/>
    <w:rsid w:val="00D027BD"/>
    <w:pPr>
      <w:spacing w:after="120" w:line="480" w:lineRule="auto"/>
      <w:ind w:left="283"/>
    </w:pPr>
  </w:style>
  <w:style w:type="paragraph" w:styleId="a4">
    <w:name w:val="Body Text"/>
    <w:aliases w:val="Основной текст1,Основной текст Знак Знак Знак Знак Знак Знак,Основной текст Знак Знак Знак Знак Знак Знак Знак Знак Знак Знак Знак Знак Знак Знак Знак Знак Знак Знак Знак Знак"/>
    <w:basedOn w:val="a"/>
    <w:link w:val="a5"/>
    <w:rsid w:val="00D027BD"/>
    <w:pPr>
      <w:spacing w:after="120"/>
    </w:pPr>
  </w:style>
  <w:style w:type="paragraph" w:customStyle="1" w:styleId="ConsPlusNormal">
    <w:name w:val="ConsPlusNormal"/>
    <w:rsid w:val="00E5437B"/>
    <w:pPr>
      <w:autoSpaceDE w:val="0"/>
      <w:autoSpaceDN w:val="0"/>
      <w:adjustRightInd w:val="0"/>
      <w:ind w:firstLine="720"/>
    </w:pPr>
    <w:rPr>
      <w:rFonts w:ascii="Arial" w:hAnsi="Arial" w:cs="Arial"/>
    </w:rPr>
  </w:style>
  <w:style w:type="paragraph" w:styleId="a6">
    <w:name w:val="footnote text"/>
    <w:basedOn w:val="a"/>
    <w:semiHidden/>
    <w:rsid w:val="00E5437B"/>
    <w:rPr>
      <w:sz w:val="20"/>
      <w:szCs w:val="20"/>
    </w:rPr>
  </w:style>
  <w:style w:type="character" w:styleId="a7">
    <w:name w:val="footnote reference"/>
    <w:basedOn w:val="a0"/>
    <w:semiHidden/>
    <w:rsid w:val="00E5437B"/>
    <w:rPr>
      <w:vertAlign w:val="superscript"/>
    </w:rPr>
  </w:style>
  <w:style w:type="table" w:styleId="a8">
    <w:name w:val="Table Grid"/>
    <w:basedOn w:val="a1"/>
    <w:rsid w:val="00F17157"/>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qFormat/>
    <w:rsid w:val="003373DE"/>
    <w:pPr>
      <w:jc w:val="center"/>
    </w:pPr>
    <w:rPr>
      <w:sz w:val="28"/>
    </w:rPr>
  </w:style>
  <w:style w:type="paragraph" w:customStyle="1" w:styleId="ConsPlusTitle">
    <w:name w:val="ConsPlusTitle"/>
    <w:rsid w:val="00423DB1"/>
    <w:pPr>
      <w:widowControl w:val="0"/>
      <w:autoSpaceDE w:val="0"/>
      <w:autoSpaceDN w:val="0"/>
      <w:adjustRightInd w:val="0"/>
    </w:pPr>
    <w:rPr>
      <w:rFonts w:ascii="Arial" w:hAnsi="Arial" w:cs="Arial"/>
      <w:b/>
      <w:bCs/>
    </w:rPr>
  </w:style>
  <w:style w:type="character" w:customStyle="1" w:styleId="a5">
    <w:name w:val="Основной текст Знак"/>
    <w:aliases w:val="Основной текст1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 Знак"/>
    <w:basedOn w:val="a0"/>
    <w:link w:val="a4"/>
    <w:rsid w:val="00080C19"/>
    <w:rPr>
      <w:sz w:val="24"/>
      <w:szCs w:val="24"/>
      <w:lang w:val="ru-RU" w:eastAsia="ru-RU" w:bidi="ar-SA"/>
    </w:rPr>
  </w:style>
  <w:style w:type="paragraph" w:styleId="aa">
    <w:name w:val="footer"/>
    <w:basedOn w:val="a"/>
    <w:rsid w:val="006A699B"/>
    <w:pPr>
      <w:tabs>
        <w:tab w:val="center" w:pos="4677"/>
        <w:tab w:val="right" w:pos="9355"/>
      </w:tabs>
    </w:pPr>
  </w:style>
  <w:style w:type="character" w:styleId="ab">
    <w:name w:val="page number"/>
    <w:basedOn w:val="a0"/>
    <w:rsid w:val="006A699B"/>
  </w:style>
  <w:style w:type="paragraph" w:styleId="ac">
    <w:name w:val="caption"/>
    <w:basedOn w:val="a"/>
    <w:qFormat/>
    <w:rsid w:val="001E60F9"/>
    <w:pPr>
      <w:ind w:firstLine="720"/>
      <w:jc w:val="center"/>
    </w:pPr>
    <w:rPr>
      <w:b/>
      <w:sz w:val="28"/>
      <w:szCs w:val="20"/>
    </w:rPr>
  </w:style>
  <w:style w:type="paragraph" w:customStyle="1" w:styleId="ConsNormal">
    <w:name w:val="ConsNormal"/>
    <w:rsid w:val="00607E5A"/>
    <w:pPr>
      <w:widowControl w:val="0"/>
      <w:ind w:firstLine="720"/>
    </w:pPr>
    <w:rPr>
      <w:rFonts w:ascii="Arial" w:hAnsi="Arial"/>
      <w:snapToGrid w:val="0"/>
    </w:rPr>
  </w:style>
  <w:style w:type="paragraph" w:styleId="ad">
    <w:name w:val="header"/>
    <w:basedOn w:val="a"/>
    <w:rsid w:val="00F730B2"/>
    <w:pPr>
      <w:tabs>
        <w:tab w:val="center" w:pos="4677"/>
        <w:tab w:val="right" w:pos="9355"/>
      </w:tabs>
    </w:pPr>
  </w:style>
  <w:style w:type="paragraph" w:customStyle="1" w:styleId="10">
    <w:name w:val="Знак1"/>
    <w:basedOn w:val="a"/>
    <w:rsid w:val="00CD4EED"/>
    <w:pPr>
      <w:spacing w:after="160" w:line="240" w:lineRule="exact"/>
    </w:pPr>
    <w:rPr>
      <w:rFonts w:ascii="Verdana" w:hAnsi="Verdana"/>
      <w:sz w:val="20"/>
      <w:szCs w:val="20"/>
      <w:lang w:val="en-US" w:eastAsia="en-US"/>
    </w:rPr>
  </w:style>
  <w:style w:type="paragraph" w:styleId="ae">
    <w:name w:val="Balloon Text"/>
    <w:basedOn w:val="a"/>
    <w:link w:val="af"/>
    <w:uiPriority w:val="99"/>
    <w:rsid w:val="00155162"/>
    <w:rPr>
      <w:rFonts w:ascii="Tahoma" w:hAnsi="Tahoma" w:cs="Tahoma"/>
      <w:sz w:val="16"/>
      <w:szCs w:val="16"/>
    </w:rPr>
  </w:style>
  <w:style w:type="character" w:customStyle="1" w:styleId="af">
    <w:name w:val="Текст выноски Знак"/>
    <w:basedOn w:val="a0"/>
    <w:link w:val="ae"/>
    <w:uiPriority w:val="99"/>
    <w:rsid w:val="00155162"/>
    <w:rPr>
      <w:rFonts w:ascii="Tahoma" w:hAnsi="Tahoma" w:cs="Tahoma"/>
      <w:sz w:val="16"/>
      <w:szCs w:val="16"/>
    </w:rPr>
  </w:style>
  <w:style w:type="paragraph" w:styleId="af0">
    <w:name w:val="List Paragraph"/>
    <w:basedOn w:val="a"/>
    <w:uiPriority w:val="34"/>
    <w:qFormat/>
    <w:rsid w:val="00F551DE"/>
    <w:pPr>
      <w:ind w:left="720"/>
      <w:contextualSpacing/>
    </w:pPr>
  </w:style>
  <w:style w:type="character" w:styleId="af1">
    <w:name w:val="Hyperlink"/>
    <w:basedOn w:val="a0"/>
    <w:uiPriority w:val="99"/>
    <w:unhideWhenUsed/>
    <w:rsid w:val="00381CCE"/>
    <w:rPr>
      <w:color w:val="0000FF" w:themeColor="hyperlink"/>
      <w:u w:val="single"/>
    </w:rPr>
  </w:style>
  <w:style w:type="character" w:customStyle="1" w:styleId="apple-converted-space">
    <w:name w:val="apple-converted-space"/>
    <w:basedOn w:val="a0"/>
    <w:rsid w:val="00DA0872"/>
  </w:style>
  <w:style w:type="character" w:customStyle="1" w:styleId="rserrmark">
    <w:name w:val="rs_err_mark"/>
    <w:basedOn w:val="a0"/>
    <w:rsid w:val="00DA08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autoRedefine/>
    <w:qFormat/>
    <w:rsid w:val="00D572EE"/>
    <w:pPr>
      <w:keepNext/>
      <w:spacing w:before="120" w:after="60"/>
      <w:ind w:firstLine="567"/>
      <w:jc w:val="both"/>
      <w:outlineLvl w:val="0"/>
    </w:pPr>
    <w:rPr>
      <w:rFonts w:cs="Arial"/>
      <w:b/>
      <w:bCs/>
      <w:kern w:val="32"/>
    </w:rPr>
  </w:style>
  <w:style w:type="paragraph" w:styleId="3">
    <w:name w:val="heading 3"/>
    <w:basedOn w:val="a"/>
    <w:next w:val="a"/>
    <w:qFormat/>
    <w:rsid w:val="00296D9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адин стиль,Основной текст 1,Нумерованный список !!,Iniiaiie oaeno 1,Ioia?iaaiiue nienie !!,Iaaei noeeu"/>
    <w:basedOn w:val="a"/>
    <w:rsid w:val="002741C2"/>
    <w:pPr>
      <w:ind w:right="-766" w:firstLine="720"/>
      <w:jc w:val="both"/>
    </w:pPr>
    <w:rPr>
      <w:sz w:val="28"/>
      <w:szCs w:val="20"/>
    </w:rPr>
  </w:style>
  <w:style w:type="paragraph" w:styleId="2">
    <w:name w:val="Body Text 2"/>
    <w:basedOn w:val="a"/>
    <w:rsid w:val="002741C2"/>
    <w:pPr>
      <w:spacing w:after="120" w:line="480" w:lineRule="auto"/>
    </w:pPr>
  </w:style>
  <w:style w:type="paragraph" w:styleId="20">
    <w:name w:val="Body Text Indent 2"/>
    <w:basedOn w:val="a"/>
    <w:rsid w:val="00D027BD"/>
    <w:pPr>
      <w:spacing w:after="120" w:line="480" w:lineRule="auto"/>
      <w:ind w:left="283"/>
    </w:pPr>
  </w:style>
  <w:style w:type="paragraph" w:styleId="a4">
    <w:name w:val="Body Text"/>
    <w:aliases w:val="Основной текст1,Основной текст Знак Знак Знак Знак Знак Знак,Основной текст Знак Знак Знак Знак Знак Знак Знак Знак Знак Знак Знак Знак Знак Знак Знак Знак Знак Знак Знак Знак"/>
    <w:basedOn w:val="a"/>
    <w:link w:val="a5"/>
    <w:rsid w:val="00D027BD"/>
    <w:pPr>
      <w:spacing w:after="120"/>
    </w:pPr>
  </w:style>
  <w:style w:type="paragraph" w:customStyle="1" w:styleId="ConsPlusNormal">
    <w:name w:val="ConsPlusNormal"/>
    <w:rsid w:val="00E5437B"/>
    <w:pPr>
      <w:autoSpaceDE w:val="0"/>
      <w:autoSpaceDN w:val="0"/>
      <w:adjustRightInd w:val="0"/>
      <w:ind w:firstLine="720"/>
    </w:pPr>
    <w:rPr>
      <w:rFonts w:ascii="Arial" w:hAnsi="Arial" w:cs="Arial"/>
    </w:rPr>
  </w:style>
  <w:style w:type="paragraph" w:styleId="a6">
    <w:name w:val="footnote text"/>
    <w:basedOn w:val="a"/>
    <w:semiHidden/>
    <w:rsid w:val="00E5437B"/>
    <w:rPr>
      <w:sz w:val="20"/>
      <w:szCs w:val="20"/>
    </w:rPr>
  </w:style>
  <w:style w:type="character" w:styleId="a7">
    <w:name w:val="footnote reference"/>
    <w:basedOn w:val="a0"/>
    <w:semiHidden/>
    <w:rsid w:val="00E5437B"/>
    <w:rPr>
      <w:vertAlign w:val="superscript"/>
    </w:rPr>
  </w:style>
  <w:style w:type="table" w:styleId="a8">
    <w:name w:val="Table Grid"/>
    <w:basedOn w:val="a1"/>
    <w:rsid w:val="00F17157"/>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qFormat/>
    <w:rsid w:val="003373DE"/>
    <w:pPr>
      <w:jc w:val="center"/>
    </w:pPr>
    <w:rPr>
      <w:sz w:val="28"/>
    </w:rPr>
  </w:style>
  <w:style w:type="paragraph" w:customStyle="1" w:styleId="ConsPlusTitle">
    <w:name w:val="ConsPlusTitle"/>
    <w:rsid w:val="00423DB1"/>
    <w:pPr>
      <w:widowControl w:val="0"/>
      <w:autoSpaceDE w:val="0"/>
      <w:autoSpaceDN w:val="0"/>
      <w:adjustRightInd w:val="0"/>
    </w:pPr>
    <w:rPr>
      <w:rFonts w:ascii="Arial" w:hAnsi="Arial" w:cs="Arial"/>
      <w:b/>
      <w:bCs/>
    </w:rPr>
  </w:style>
  <w:style w:type="character" w:customStyle="1" w:styleId="a5">
    <w:name w:val="Основной текст Знак"/>
    <w:aliases w:val="Основной текст1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 Знак"/>
    <w:basedOn w:val="a0"/>
    <w:link w:val="a4"/>
    <w:rsid w:val="00080C19"/>
    <w:rPr>
      <w:sz w:val="24"/>
      <w:szCs w:val="24"/>
      <w:lang w:val="ru-RU" w:eastAsia="ru-RU" w:bidi="ar-SA"/>
    </w:rPr>
  </w:style>
  <w:style w:type="paragraph" w:styleId="aa">
    <w:name w:val="footer"/>
    <w:basedOn w:val="a"/>
    <w:rsid w:val="006A699B"/>
    <w:pPr>
      <w:tabs>
        <w:tab w:val="center" w:pos="4677"/>
        <w:tab w:val="right" w:pos="9355"/>
      </w:tabs>
    </w:pPr>
  </w:style>
  <w:style w:type="character" w:styleId="ab">
    <w:name w:val="page number"/>
    <w:basedOn w:val="a0"/>
    <w:rsid w:val="006A699B"/>
  </w:style>
  <w:style w:type="paragraph" w:styleId="ac">
    <w:name w:val="caption"/>
    <w:basedOn w:val="a"/>
    <w:qFormat/>
    <w:rsid w:val="001E60F9"/>
    <w:pPr>
      <w:ind w:firstLine="720"/>
      <w:jc w:val="center"/>
    </w:pPr>
    <w:rPr>
      <w:b/>
      <w:sz w:val="28"/>
      <w:szCs w:val="20"/>
    </w:rPr>
  </w:style>
  <w:style w:type="paragraph" w:customStyle="1" w:styleId="ConsNormal">
    <w:name w:val="ConsNormal"/>
    <w:rsid w:val="00607E5A"/>
    <w:pPr>
      <w:widowControl w:val="0"/>
      <w:ind w:firstLine="720"/>
    </w:pPr>
    <w:rPr>
      <w:rFonts w:ascii="Arial" w:hAnsi="Arial"/>
      <w:snapToGrid w:val="0"/>
    </w:rPr>
  </w:style>
  <w:style w:type="paragraph" w:styleId="ad">
    <w:name w:val="header"/>
    <w:basedOn w:val="a"/>
    <w:rsid w:val="00F730B2"/>
    <w:pPr>
      <w:tabs>
        <w:tab w:val="center" w:pos="4677"/>
        <w:tab w:val="right" w:pos="9355"/>
      </w:tabs>
    </w:pPr>
  </w:style>
  <w:style w:type="paragraph" w:customStyle="1" w:styleId="10">
    <w:name w:val="Знак1"/>
    <w:basedOn w:val="a"/>
    <w:rsid w:val="00CD4EED"/>
    <w:pPr>
      <w:spacing w:after="160" w:line="240" w:lineRule="exact"/>
    </w:pPr>
    <w:rPr>
      <w:rFonts w:ascii="Verdana" w:hAnsi="Verdana"/>
      <w:sz w:val="20"/>
      <w:szCs w:val="20"/>
      <w:lang w:val="en-US" w:eastAsia="en-US"/>
    </w:rPr>
  </w:style>
  <w:style w:type="paragraph" w:styleId="ae">
    <w:name w:val="Balloon Text"/>
    <w:basedOn w:val="a"/>
    <w:link w:val="af"/>
    <w:uiPriority w:val="99"/>
    <w:rsid w:val="00155162"/>
    <w:rPr>
      <w:rFonts w:ascii="Tahoma" w:hAnsi="Tahoma" w:cs="Tahoma"/>
      <w:sz w:val="16"/>
      <w:szCs w:val="16"/>
    </w:rPr>
  </w:style>
  <w:style w:type="character" w:customStyle="1" w:styleId="af">
    <w:name w:val="Текст выноски Знак"/>
    <w:basedOn w:val="a0"/>
    <w:link w:val="ae"/>
    <w:uiPriority w:val="99"/>
    <w:rsid w:val="00155162"/>
    <w:rPr>
      <w:rFonts w:ascii="Tahoma" w:hAnsi="Tahoma" w:cs="Tahoma"/>
      <w:sz w:val="16"/>
      <w:szCs w:val="16"/>
    </w:rPr>
  </w:style>
  <w:style w:type="paragraph" w:styleId="af0">
    <w:name w:val="List Paragraph"/>
    <w:basedOn w:val="a"/>
    <w:uiPriority w:val="34"/>
    <w:qFormat/>
    <w:rsid w:val="00F551DE"/>
    <w:pPr>
      <w:ind w:left="720"/>
      <w:contextualSpacing/>
    </w:pPr>
  </w:style>
  <w:style w:type="character" w:styleId="af1">
    <w:name w:val="Hyperlink"/>
    <w:basedOn w:val="a0"/>
    <w:uiPriority w:val="99"/>
    <w:unhideWhenUsed/>
    <w:rsid w:val="00381CCE"/>
    <w:rPr>
      <w:color w:val="0000FF" w:themeColor="hyperlink"/>
      <w:u w:val="single"/>
    </w:rPr>
  </w:style>
  <w:style w:type="character" w:customStyle="1" w:styleId="apple-converted-space">
    <w:name w:val="apple-converted-space"/>
    <w:basedOn w:val="a0"/>
    <w:rsid w:val="00DA0872"/>
  </w:style>
  <w:style w:type="character" w:customStyle="1" w:styleId="rserrmark">
    <w:name w:val="rs_err_mark"/>
    <w:basedOn w:val="a0"/>
    <w:rsid w:val="00DA0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7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6</Pages>
  <Words>2776</Words>
  <Characters>15828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Расходы областного бюджета Новосибирской области на 2007 год</vt:lpstr>
    </vt:vector>
  </TitlesOfParts>
  <Company>KCP</Company>
  <LinksUpToDate>false</LinksUpToDate>
  <CharactersWithSpaces>18567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Расходы областного бюджета Новосибирской области на 2007 год</dc:title>
  <dc:creator>User</dc:creator>
  <cp:lastModifiedBy>Довгучиц</cp:lastModifiedBy>
  <cp:revision>59</cp:revision>
  <cp:lastPrinted>2015-05-05T11:41:00Z</cp:lastPrinted>
  <dcterms:created xsi:type="dcterms:W3CDTF">2013-04-01T03:29:00Z</dcterms:created>
  <dcterms:modified xsi:type="dcterms:W3CDTF">2015-05-06T09:57:00Z</dcterms:modified>
</cp:coreProperties>
</file>